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1239" w14:textId="77777777" w:rsidR="000F21C9" w:rsidRPr="00023803" w:rsidRDefault="000F21C9" w:rsidP="00023803">
      <w:pPr>
        <w:pStyle w:val="Bezriadkovania"/>
        <w:spacing w:line="276" w:lineRule="auto"/>
        <w:jc w:val="both"/>
        <w:rPr>
          <w:rFonts w:cstheme="minorHAnsi"/>
          <w:color w:val="000000"/>
          <w:lang w:val="sk-SK"/>
        </w:rPr>
      </w:pPr>
      <w:r w:rsidRPr="00023803">
        <w:rPr>
          <w:rFonts w:cstheme="minorHAnsi"/>
          <w:color w:val="000000"/>
          <w:lang w:val="sk-SK"/>
        </w:rPr>
        <w:t>TLAČOVÁ SPRÁVA</w:t>
      </w:r>
    </w:p>
    <w:p w14:paraId="69D7C348" w14:textId="71101503" w:rsidR="00FB07E7" w:rsidRPr="00C765BC" w:rsidRDefault="00FB07E7" w:rsidP="00FB07E7">
      <w:pPr>
        <w:pStyle w:val="Bezriadkovania"/>
        <w:spacing w:line="276" w:lineRule="auto"/>
        <w:jc w:val="both"/>
        <w:rPr>
          <w:rFonts w:ascii="Calibri" w:hAnsi="Calibri" w:cs="Calibri"/>
          <w:color w:val="000000"/>
          <w:lang w:val="sk-SK"/>
        </w:rPr>
      </w:pPr>
      <w:r w:rsidRPr="00C765BC">
        <w:rPr>
          <w:rFonts w:ascii="Calibri" w:hAnsi="Calibri" w:cs="Calibri"/>
          <w:color w:val="000000"/>
          <w:lang w:val="sk-SK"/>
        </w:rPr>
        <w:t xml:space="preserve">Bratislava </w:t>
      </w:r>
      <w:r w:rsidR="00C133D7">
        <w:rPr>
          <w:rFonts w:ascii="Calibri" w:hAnsi="Calibri" w:cs="Calibri"/>
          <w:color w:val="000000"/>
          <w:lang w:val="sk-SK"/>
        </w:rPr>
        <w:t>29</w:t>
      </w:r>
      <w:r w:rsidR="00BF0D08">
        <w:rPr>
          <w:rFonts w:ascii="Calibri" w:hAnsi="Calibri" w:cs="Calibri"/>
          <w:color w:val="000000"/>
          <w:lang w:val="sk-SK"/>
        </w:rPr>
        <w:t xml:space="preserve">. decembra </w:t>
      </w:r>
      <w:r w:rsidRPr="00C765BC">
        <w:rPr>
          <w:rFonts w:ascii="Calibri" w:hAnsi="Calibri" w:cs="Calibri"/>
          <w:color w:val="000000"/>
          <w:lang w:val="sk-SK"/>
        </w:rPr>
        <w:t>202</w:t>
      </w:r>
      <w:r w:rsidR="00FC6328">
        <w:rPr>
          <w:rFonts w:ascii="Calibri" w:hAnsi="Calibri" w:cs="Calibri"/>
          <w:color w:val="000000"/>
          <w:lang w:val="sk-SK"/>
        </w:rPr>
        <w:t>3</w:t>
      </w:r>
    </w:p>
    <w:p w14:paraId="361B03B0" w14:textId="77777777" w:rsidR="00F77635" w:rsidRDefault="00F77635" w:rsidP="00023803">
      <w:pPr>
        <w:pStyle w:val="Bezriadkovania"/>
        <w:spacing w:line="276" w:lineRule="auto"/>
        <w:jc w:val="both"/>
        <w:rPr>
          <w:rStyle w:val="q4iawc"/>
          <w:rFonts w:cstheme="minorHAnsi"/>
          <w:color w:val="000000"/>
          <w:lang w:val="sk-SK"/>
        </w:rPr>
      </w:pPr>
    </w:p>
    <w:p w14:paraId="6CF83908" w14:textId="77777777" w:rsidR="00C133D7" w:rsidRPr="00023803" w:rsidRDefault="00C133D7" w:rsidP="00023803">
      <w:pPr>
        <w:pStyle w:val="Bezriadkovania"/>
        <w:spacing w:line="276" w:lineRule="auto"/>
        <w:jc w:val="both"/>
        <w:rPr>
          <w:rStyle w:val="q4iawc"/>
          <w:rFonts w:cstheme="minorHAnsi"/>
          <w:color w:val="000000"/>
          <w:lang w:val="sk-SK"/>
        </w:rPr>
      </w:pPr>
    </w:p>
    <w:p w14:paraId="53A77E96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32"/>
          <w:lang w:val="sk-SK" w:bidi="sa-IN"/>
        </w:rPr>
      </w:pPr>
      <w:bookmarkStart w:id="0" w:name="_Hlk142575011"/>
      <w:bookmarkStart w:id="1" w:name="m_-5692856057989739893__Hlk93936816"/>
      <w:bookmarkStart w:id="2" w:name="_Hlk120700389"/>
      <w:bookmarkEnd w:id="1"/>
      <w:r w:rsidRPr="00C133D7">
        <w:rPr>
          <w:rFonts w:ascii="Calibri" w:eastAsia="Times New Roman" w:hAnsi="Calibri" w:cs="Calibri"/>
          <w:b/>
          <w:color w:val="000000"/>
          <w:sz w:val="32"/>
          <w:szCs w:val="32"/>
          <w:lang w:val="sk-SK" w:bidi="sa-IN"/>
        </w:rPr>
        <w:t xml:space="preserve">Ako sa bude </w:t>
      </w:r>
      <w:r w:rsidRPr="00C133D7">
        <w:rPr>
          <w:rFonts w:ascii="Calibri" w:eastAsia="Times New Roman" w:hAnsi="Calibri" w:cs="Calibri"/>
          <w:b/>
          <w:sz w:val="32"/>
          <w:szCs w:val="32"/>
          <w:lang w:val="sk-SK" w:bidi="sa-IN"/>
        </w:rPr>
        <w:t>vyvíjať náš pracovný trh v roku 2024? Nízka nezamestnanosť v kombinácii s vysokou infláciou zrejme ostanú aj naďalej dvojsečnou zbraňou</w:t>
      </w:r>
    </w:p>
    <w:p w14:paraId="5BB01A68" w14:textId="77777777" w:rsidR="00C133D7" w:rsidRPr="00C133D7" w:rsidRDefault="00C133D7" w:rsidP="00C133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sk-SK" w:bidi="sa-IN"/>
        </w:rPr>
      </w:pPr>
    </w:p>
    <w:p w14:paraId="0DF1EBE4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val="sk-SK" w:bidi="sa-IN"/>
        </w:rPr>
      </w:pPr>
      <w:r w:rsidRPr="00C133D7">
        <w:rPr>
          <w:rFonts w:ascii="Calibri" w:eastAsia="Times New Roman" w:hAnsi="Calibri" w:cs="Calibri"/>
          <w:b/>
          <w:szCs w:val="20"/>
          <w:lang w:val="sk-SK" w:bidi="sa-IN"/>
        </w:rPr>
        <w:t xml:space="preserve">V tomto roku ovplyvňovala slovenský pracovný trh najmä nízka nezamestnanosť a vysoká inflácia, ktorých kombinácia priniesla pozitívne dôsledky pre zamestnancov, no negatívne pre zamestnávateľov. </w:t>
      </w:r>
      <w:r w:rsidRPr="00C133D7">
        <w:rPr>
          <w:rFonts w:ascii="Calibri" w:eastAsia="Times New Roman" w:hAnsi="Calibri" w:cs="Calibri"/>
          <w:b/>
          <w:szCs w:val="20"/>
          <w:lang w:val="sk-SK" w:eastAsia="sk-SK"/>
        </w:rPr>
        <w:t>Kandidáti chýbali naprieč všetkými odbormi a v dohľadnej dobe sa situácia zrejme nezmení. A</w:t>
      </w:r>
      <w:r w:rsidRPr="00C133D7">
        <w:rPr>
          <w:rFonts w:eastAsia="Times New Roman" w:cs="Calibri"/>
          <w:b/>
          <w:szCs w:val="20"/>
          <w:lang w:val="sk-SK" w:eastAsia="sk-SK"/>
        </w:rPr>
        <w:t xml:space="preserve">k sa teda novej vláde nepodarí vhodne upraviť pravidlá ekonomickej migrácie, môže to pre našu ekonomiku znamenať vážny problém, </w:t>
      </w:r>
      <w:bookmarkEnd w:id="2"/>
      <w:r w:rsidRPr="00C133D7">
        <w:rPr>
          <w:rFonts w:ascii="Calibri" w:eastAsia="Times New Roman" w:hAnsi="Calibri" w:cs="Calibri"/>
          <w:b/>
          <w:szCs w:val="20"/>
          <w:lang w:val="sk-SK" w:bidi="sa-IN"/>
        </w:rPr>
        <w:t>hodnotia končiaci rok odborníci z personálnej agentúry Grafton a zároveň predikujú vývoj na rok budúci.</w:t>
      </w:r>
    </w:p>
    <w:p w14:paraId="14F330B8" w14:textId="77777777" w:rsid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val="sk-SK" w:bidi="sa-IN"/>
        </w:rPr>
      </w:pPr>
    </w:p>
    <w:p w14:paraId="120C2B2A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val="sk-SK" w:bidi="sa-IN"/>
        </w:rPr>
      </w:pPr>
    </w:p>
    <w:p w14:paraId="50A0C0BC" w14:textId="77777777" w:rsidR="00C133D7" w:rsidRPr="00C133D7" w:rsidRDefault="00C133D7" w:rsidP="00C133D7">
      <w:pPr>
        <w:spacing w:after="0" w:line="240" w:lineRule="auto"/>
        <w:jc w:val="both"/>
        <w:rPr>
          <w:rFonts w:eastAsia="Times New Roman" w:cs="Calibri"/>
          <w:szCs w:val="20"/>
          <w:lang w:val="sk-SK" w:eastAsia="sk-SK"/>
        </w:rPr>
      </w:pPr>
      <w:r w:rsidRPr="00C133D7">
        <w:rPr>
          <w:rFonts w:eastAsia="Times New Roman" w:cs="Calibri"/>
          <w:i/>
          <w:iCs/>
          <w:szCs w:val="20"/>
          <w:lang w:val="sk-SK" w:eastAsia="sk-SK"/>
        </w:rPr>
        <w:t>„Tento rok sa slovenský trh práce niesol v duchu historicky najnižšej nezamestnanosti</w:t>
      </w:r>
      <w:r w:rsidRPr="00C133D7">
        <w:rPr>
          <w:rFonts w:ascii="Calibri" w:eastAsia="Times New Roman" w:hAnsi="Calibri" w:cs="Calibri"/>
          <w:i/>
          <w:iCs/>
          <w:szCs w:val="20"/>
          <w:lang w:val="sk-SK" w:bidi="sa-IN"/>
        </w:rPr>
        <w:t>,“</w:t>
      </w:r>
      <w:r w:rsidRPr="00C133D7">
        <w:rPr>
          <w:rFonts w:ascii="Calibri" w:eastAsia="Times New Roman" w:hAnsi="Calibri" w:cs="Calibri"/>
          <w:szCs w:val="20"/>
          <w:lang w:val="sk-SK" w:bidi="sa-IN"/>
        </w:rPr>
        <w:t xml:space="preserve"> 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pripomína jeden z kľúčových faktorov </w:t>
      </w:r>
      <w:r w:rsidRPr="00C133D7">
        <w:rPr>
          <w:rFonts w:ascii="Calibri" w:eastAsia="Times New Roman" w:hAnsi="Calibri" w:cs="Calibri"/>
          <w:szCs w:val="20"/>
          <w:lang w:val="sk-SK" w:bidi="sa-IN"/>
        </w:rPr>
        <w:t>riaditeľ personálnej agentúry Grafton a </w:t>
      </w:r>
      <w:proofErr w:type="spellStart"/>
      <w:r w:rsidRPr="00C133D7">
        <w:rPr>
          <w:rFonts w:ascii="Calibri" w:eastAsia="Times New Roman" w:hAnsi="Calibri" w:cs="Calibri"/>
          <w:szCs w:val="20"/>
          <w:lang w:val="sk-SK" w:bidi="sa-IN"/>
        </w:rPr>
        <w:t>Gi</w:t>
      </w:r>
      <w:proofErr w:type="spellEnd"/>
      <w:r w:rsidRPr="00C133D7">
        <w:rPr>
          <w:rFonts w:ascii="Calibri" w:eastAsia="Times New Roman" w:hAnsi="Calibri" w:cs="Calibri"/>
          <w:szCs w:val="20"/>
          <w:lang w:val="sk-SK" w:bidi="sa-IN"/>
        </w:rPr>
        <w:t xml:space="preserve"> Group Martin Malo</w:t>
      </w:r>
      <w:r w:rsidRPr="00C133D7">
        <w:rPr>
          <w:rFonts w:eastAsia="Times New Roman" w:cs="Calibri"/>
          <w:szCs w:val="20"/>
          <w:lang w:val="sk-SK" w:eastAsia="sk-SK"/>
        </w:rPr>
        <w:t xml:space="preserve">. Tá sa v celoslovenskom meradle pohybovala pod hranicou 6 %, 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čo </w:t>
      </w:r>
      <w:r w:rsidRPr="00C133D7">
        <w:rPr>
          <w:rFonts w:eastAsia="Times New Roman" w:cs="Calibri"/>
          <w:szCs w:val="20"/>
          <w:lang w:val="sk-SK" w:eastAsia="sk-SK"/>
        </w:rPr>
        <w:t xml:space="preserve">znamenalo na jednej strane výhodnú pozíciu pre uchádzačov o zamestnanie a zamestnancov, 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>n</w:t>
      </w:r>
      <w:r w:rsidRPr="00C133D7">
        <w:rPr>
          <w:rFonts w:eastAsia="Times New Roman" w:cs="Calibri"/>
          <w:szCs w:val="20"/>
          <w:lang w:val="sk-SK" w:eastAsia="sk-SK"/>
        </w:rPr>
        <w:t>a strane druhej však táto situácia priniesla problémy zamestnávateľom.</w:t>
      </w:r>
    </w:p>
    <w:p w14:paraId="420EC77C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bidi="sa-IN"/>
        </w:rPr>
      </w:pPr>
    </w:p>
    <w:p w14:paraId="4C07BC0F" w14:textId="77777777" w:rsidR="00C133D7" w:rsidRPr="00C133D7" w:rsidRDefault="00C133D7" w:rsidP="00C133D7">
      <w:pPr>
        <w:spacing w:after="0" w:line="240" w:lineRule="auto"/>
        <w:jc w:val="both"/>
        <w:rPr>
          <w:rFonts w:eastAsia="Times New Roman" w:cs="Calibri"/>
          <w:b/>
          <w:bCs/>
          <w:szCs w:val="20"/>
          <w:lang w:val="sk-SK" w:eastAsia="sk-SK"/>
        </w:rPr>
      </w:pPr>
      <w:r w:rsidRPr="00C133D7">
        <w:rPr>
          <w:rFonts w:eastAsia="Times New Roman" w:cs="Calibri"/>
          <w:b/>
          <w:bCs/>
          <w:szCs w:val="20"/>
          <w:lang w:val="sk-SK" w:eastAsia="sk-SK"/>
        </w:rPr>
        <w:t xml:space="preserve">Vysoká inflácia a rekordne nízka nezamestnanosť tlačili </w:t>
      </w:r>
      <w:r w:rsidRPr="00C133D7">
        <w:rPr>
          <w:rFonts w:ascii="Calibri" w:eastAsia="Times New Roman" w:hAnsi="Calibri" w:cs="Calibri"/>
          <w:b/>
          <w:bCs/>
          <w:szCs w:val="20"/>
          <w:lang w:val="sk-SK" w:bidi="sa-IN"/>
        </w:rPr>
        <w:t>v roku 2023 mzdy</w:t>
      </w:r>
      <w:r w:rsidRPr="00C133D7">
        <w:rPr>
          <w:rFonts w:eastAsia="Times New Roman" w:cs="Calibri"/>
          <w:b/>
          <w:bCs/>
          <w:szCs w:val="20"/>
          <w:lang w:val="sk-SK" w:eastAsia="sk-SK"/>
        </w:rPr>
        <w:t xml:space="preserve"> nahor</w:t>
      </w:r>
    </w:p>
    <w:p w14:paraId="5FC66762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bidi="sa-IN"/>
        </w:rPr>
      </w:pPr>
      <w:r w:rsidRPr="00C133D7">
        <w:rPr>
          <w:rFonts w:eastAsia="Times New Roman" w:cs="Calibri"/>
          <w:szCs w:val="20"/>
          <w:lang w:val="sk-SK" w:eastAsia="sk-SK"/>
        </w:rPr>
        <w:t xml:space="preserve">Rekordne vysoká </w:t>
      </w:r>
      <w:r w:rsidRPr="00C133D7">
        <w:rPr>
          <w:rFonts w:ascii="Calibri" w:eastAsia="Times New Roman" w:hAnsi="Calibri" w:cs="Calibri"/>
          <w:szCs w:val="20"/>
          <w:lang w:val="sk-SK" w:bidi="sa-IN"/>
        </w:rPr>
        <w:t>miera inflácie a zároveň nedostatok pracovníkov boli dva najdôležitejšie aspekty, ktoré v tomto roku nútili zamestnávateľov zvyšovať mzdy. Na Slovensku rástli mzdy vo všetkých odboroch aj krajoch, no nie všade rovnako. Najvýraznejšie zvyšovanie pocítili zamestnanci vo výrobe, v stavebníctve a logistike. Naopak, k sektorom s minimálnym rastom miezd patrili IT, bankovníctvo a finančné služby. Mzdy sa zároveň v niektorých profesiách dostali na veľmi podobnú úroveň naprieč viacerými krajmi, čo bolo evidentné najmä v oblasti inžinieringu a výroby. Vyššie finančné ohodnotenie v Bratislave tak prestalo byť všeobecne platným pravidlom. Zvyšovanie miezd však nestačilo pokryť infláciu a vo výške čistej priemernej mesačnej mzdy sa dnes Slovensko nachádza na chvoste krajín EÚ.</w:t>
      </w:r>
    </w:p>
    <w:p w14:paraId="597915EF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bidi="sa-IN"/>
        </w:rPr>
      </w:pPr>
    </w:p>
    <w:p w14:paraId="154B4AEB" w14:textId="77777777" w:rsidR="00C133D7" w:rsidRPr="00C133D7" w:rsidRDefault="00C133D7" w:rsidP="00C133D7">
      <w:pPr>
        <w:spacing w:after="0" w:line="240" w:lineRule="auto"/>
        <w:jc w:val="both"/>
        <w:rPr>
          <w:rFonts w:eastAsia="Times New Roman" w:cs="Calibri"/>
          <w:b/>
          <w:bCs/>
          <w:szCs w:val="20"/>
          <w:lang w:val="sk-SK" w:eastAsia="sk-SK"/>
        </w:rPr>
      </w:pPr>
      <w:r w:rsidRPr="00C133D7">
        <w:rPr>
          <w:rFonts w:eastAsia="Times New Roman" w:cs="Calibri"/>
          <w:b/>
          <w:bCs/>
          <w:szCs w:val="20"/>
          <w:lang w:val="sk-SK" w:eastAsia="sk-SK"/>
        </w:rPr>
        <w:t>Chýbali operátori výroby, účtovníci aj manažéri</w:t>
      </w:r>
    </w:p>
    <w:p w14:paraId="0485CBBA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Podľa odborníkov z personálnej agentúry Grafton chýbali v roku 2023 </w:t>
      </w:r>
      <w:r w:rsidRPr="00C133D7">
        <w:rPr>
          <w:rFonts w:eastAsia="Times New Roman" w:cs="Calibri"/>
          <w:szCs w:val="20"/>
          <w:lang w:val="sk-SK" w:eastAsia="sk-SK"/>
        </w:rPr>
        <w:t>k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>andidáti vo všetkých odboroch. K najviac žiadaným patrili pracovníci vo výrobe a logistike, ale aj zamestnanci z kategórie bielych golierov –</w:t>
      </w:r>
      <w:r w:rsidRPr="00C133D7">
        <w:rPr>
          <w:rFonts w:ascii="Calibri" w:eastAsia="Times New Roman" w:hAnsi="Calibri" w:cs="Calibri"/>
          <w:szCs w:val="20"/>
          <w:lang w:val="sk-SK" w:bidi="sa-IN"/>
        </w:rPr>
        <w:t xml:space="preserve"> 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účtovníci, obchodní zástupcovia a manažéri. O pozície manažérov, obchodných zástupcov a operátorov výroby bol zároveň najvyšší záujem zo strany uchádzačov. Zvýšený dopyt zaznamenali personalisti aj po kandidátoch, ktorí ovládajú viac než jeden jazyk, a to najmä kombináciu angličtiny a nemčiny. </w:t>
      </w:r>
    </w:p>
    <w:p w14:paraId="1BE55472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</w:p>
    <w:p w14:paraId="47E563E5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Medzi najlepšie odmeňované patrili v tomto roku vyššie manažérske pozície. Pomyselný rebríček agentúry Grafton vo výške ponúkanej mzdy a zároveň aj v počte reakcií uchádzačov viedla najvyššia dopytovaná pozícia – </w:t>
      </w:r>
      <w:proofErr w:type="spellStart"/>
      <w:r w:rsidRPr="00C133D7">
        <w:rPr>
          <w:rFonts w:ascii="Calibri" w:eastAsia="Times New Roman" w:hAnsi="Calibri" w:cs="Calibri"/>
          <w:szCs w:val="20"/>
          <w:lang w:val="sk-SK" w:eastAsia="sk-SK"/>
        </w:rPr>
        <w:t>Plant</w:t>
      </w:r>
      <w:proofErr w:type="spellEnd"/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 Manager, teda vedúci závodu.</w:t>
      </w:r>
    </w:p>
    <w:p w14:paraId="463610CC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</w:p>
    <w:p w14:paraId="232F3C53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val="sk-SK" w:eastAsia="sk-SK"/>
        </w:rPr>
      </w:pPr>
      <w:r w:rsidRPr="00C133D7">
        <w:rPr>
          <w:rFonts w:ascii="Calibri" w:eastAsia="Times New Roman" w:hAnsi="Calibri" w:cs="Calibri"/>
          <w:b/>
          <w:bCs/>
          <w:szCs w:val="20"/>
          <w:lang w:val="sk-SK" w:eastAsia="sk-SK"/>
        </w:rPr>
        <w:lastRenderedPageBreak/>
        <w:t>Uplynulý rok bol pre zamestnávateľov veľkou výzvou</w:t>
      </w:r>
    </w:p>
    <w:p w14:paraId="662A0A4D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i/>
          <w:iCs/>
          <w:szCs w:val="20"/>
          <w:lang w:val="sk-SK" w:bidi="sa-IN"/>
        </w:rPr>
      </w:pP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Nízka miera nezamestnanosti a nedostatok kandidátov v kombinácii s vysokou infláciou potrápili zase zamestnávateľov. </w:t>
      </w:r>
      <w:r w:rsidRPr="00C133D7">
        <w:rPr>
          <w:rFonts w:eastAsia="Times New Roman" w:cs="Calibri"/>
          <w:i/>
          <w:iCs/>
          <w:szCs w:val="20"/>
          <w:lang w:val="sk-SK" w:eastAsia="sk-SK"/>
        </w:rPr>
        <w:t xml:space="preserve">„Vysoká </w:t>
      </w:r>
      <w:r w:rsidRPr="00C133D7">
        <w:rPr>
          <w:rFonts w:ascii="Calibri" w:eastAsia="Times New Roman" w:hAnsi="Calibri" w:cs="Calibri"/>
          <w:i/>
          <w:iCs/>
          <w:szCs w:val="20"/>
          <w:lang w:val="sk-SK" w:bidi="sa-IN"/>
        </w:rPr>
        <w:t xml:space="preserve">miera inflácie prirodzene zvyšovala mzdové požiadavky zamestnancov, čo však zároveň znamenalo aj vyššie náklady pre zamestnávateľov,“ </w:t>
      </w:r>
      <w:r w:rsidRPr="00C133D7">
        <w:rPr>
          <w:rFonts w:ascii="Calibri" w:eastAsia="Times New Roman" w:hAnsi="Calibri" w:cs="Calibri"/>
          <w:szCs w:val="20"/>
          <w:lang w:val="sk-SK" w:bidi="sa-IN"/>
        </w:rPr>
        <w:t xml:space="preserve">upresňuje </w:t>
      </w:r>
      <w:proofErr w:type="spellStart"/>
      <w:r w:rsidRPr="00C133D7">
        <w:rPr>
          <w:rFonts w:ascii="Calibri" w:eastAsia="Times New Roman" w:hAnsi="Calibri" w:cs="Calibri"/>
          <w:szCs w:val="20"/>
          <w:lang w:val="sk-SK" w:bidi="sa-IN"/>
        </w:rPr>
        <w:t>branch</w:t>
      </w:r>
      <w:proofErr w:type="spellEnd"/>
      <w:r w:rsidRPr="00C133D7">
        <w:rPr>
          <w:rFonts w:ascii="Calibri" w:eastAsia="Times New Roman" w:hAnsi="Calibri" w:cs="Calibri"/>
          <w:szCs w:val="20"/>
          <w:lang w:val="sk-SK" w:bidi="sa-IN"/>
        </w:rPr>
        <w:t xml:space="preserve"> manager bratislavskej pobočky </w:t>
      </w:r>
      <w:proofErr w:type="spellStart"/>
      <w:r w:rsidRPr="00C133D7">
        <w:rPr>
          <w:rFonts w:ascii="Calibri" w:eastAsia="Times New Roman" w:hAnsi="Calibri" w:cs="Calibri"/>
          <w:szCs w:val="20"/>
          <w:lang w:val="sk-SK" w:bidi="sa-IN"/>
        </w:rPr>
        <w:t>Graftonu</w:t>
      </w:r>
      <w:proofErr w:type="spellEnd"/>
      <w:r w:rsidRPr="00C133D7">
        <w:rPr>
          <w:rFonts w:ascii="Calibri" w:eastAsia="Times New Roman" w:hAnsi="Calibri" w:cs="Calibri"/>
          <w:szCs w:val="20"/>
          <w:lang w:val="sk-SK" w:bidi="sa-IN"/>
        </w:rPr>
        <w:t xml:space="preserve"> Juraj Polák a dodáva: „</w:t>
      </w:r>
      <w:r w:rsidRPr="00C133D7">
        <w:rPr>
          <w:rFonts w:ascii="Calibri" w:eastAsia="Times New Roman" w:hAnsi="Calibri" w:cs="Calibri"/>
          <w:i/>
          <w:iCs/>
          <w:szCs w:val="20"/>
          <w:lang w:val="sk-SK" w:bidi="sa-IN"/>
        </w:rPr>
        <w:t>Jedným z dôsledkov bol nárast počtu situácií, kedy sa mzdové očakávania kandidátov nestretávali s možnosťami zamestnávateľov. Stúpla tiež fluktuácia zamestnancov – narástol počet tých, ktorí boli ochotní zmeniť prácu, ak dostali zaujímavejšiu ponuku. To všetko spolu so všeobecným nedostatkom ľudí na pracovnom trhu prinieslo pre zamestnávateľov nové výzvy – museli sa naučiť flexibilnejšie reagovať na zmeny trhu práce a hľadať spôsoby, ako si zamestnancov udržať.“</w:t>
      </w:r>
    </w:p>
    <w:p w14:paraId="75DA171E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bidi="sa-IN"/>
        </w:rPr>
      </w:pPr>
    </w:p>
    <w:p w14:paraId="4AB5D05C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i/>
          <w:iCs/>
          <w:szCs w:val="20"/>
          <w:lang w:val="sk-SK" w:eastAsia="sk-SK"/>
        </w:rPr>
      </w:pPr>
      <w:r w:rsidRPr="00C133D7">
        <w:rPr>
          <w:rFonts w:ascii="Calibri" w:eastAsia="Times New Roman" w:hAnsi="Calibri" w:cs="Calibri"/>
          <w:szCs w:val="20"/>
          <w:lang w:val="sk-SK" w:bidi="sa-IN"/>
        </w:rPr>
        <w:t>Práve dvojciferná inflácia spôsobila nárast tlaku nielen na zvyšovanie miezd, ale aj na podporu formou benefitov, či už finančných alebo nefinančných</w:t>
      </w:r>
      <w:r w:rsidRPr="00C133D7">
        <w:rPr>
          <w:rFonts w:ascii="Calibri" w:eastAsia="Times New Roman" w:hAnsi="Calibri" w:cs="Calibri"/>
          <w:i/>
          <w:iCs/>
          <w:szCs w:val="20"/>
          <w:lang w:val="sk-SK" w:bidi="sa-IN"/>
        </w:rPr>
        <w:t xml:space="preserve">. „Jedným z pozitívnych dôsledkov tohtoročného vývoja bola v tomto smere napríklad </w:t>
      </w:r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 xml:space="preserve">implementácie </w:t>
      </w:r>
      <w:proofErr w:type="spellStart"/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>home</w:t>
      </w:r>
      <w:proofErr w:type="spellEnd"/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 xml:space="preserve"> </w:t>
      </w:r>
      <w:proofErr w:type="spellStart"/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>office</w:t>
      </w:r>
      <w:proofErr w:type="spellEnd"/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 xml:space="preserve"> vo viacerých odvetviach,“ 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>upozorňuje Martin Malo.</w:t>
      </w:r>
    </w:p>
    <w:p w14:paraId="3C073A01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</w:p>
    <w:p w14:paraId="7C49175E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sk-SK" w:eastAsia="sk-SK"/>
        </w:rPr>
      </w:pPr>
      <w:r w:rsidRPr="00C133D7">
        <w:rPr>
          <w:rFonts w:ascii="Calibri" w:eastAsia="Times New Roman" w:hAnsi="Calibri" w:cs="Calibri"/>
          <w:b/>
          <w:bCs/>
          <w:szCs w:val="20"/>
          <w:lang w:val="sk-SK" w:eastAsia="sk-SK"/>
        </w:rPr>
        <w:t>Nedostatok kandidátov, inflácia a tlak na mzdy nás čakajú aj v budúcom roku</w:t>
      </w:r>
    </w:p>
    <w:p w14:paraId="1B127DA4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Podľa Martina Mala bude veľký tlak na mzdy zamestnancov pokračovať aj v roku 2024, a to najmä pre pretrvávajúcu infláciu. </w:t>
      </w:r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>„Ak nedôjde k adekvátnemu rastu miezd, bude hlavne mladšia, bezdetná generácia odchádzať za prácou do zahraničia, predovšetkým do Českej republiky,“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 upozorňuje na možné dôsledky.</w:t>
      </w:r>
    </w:p>
    <w:p w14:paraId="2F6AC63C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</w:p>
    <w:p w14:paraId="2E43B47B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Aj naďalej budú podľa neho chýbať kandidáti a nová vláda bude musieť rozhodnúť, akým spôsobom zmení pravidlá ekonomickej migrácie. </w:t>
      </w:r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>„Pokiaľ v tejto téme nenastane posun smerom k zjednodušeniu a zlepšeniu flexibility, budeme oproti okolitým štátom strácať ešte viac než doteraz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. </w:t>
      </w:r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 xml:space="preserve">S podobnou situáciou v nezamestnanosti, ktorú ovplyvňuje negatívna demografická krivka, sa boria všetky krajiny V4. Ak teda nechce byť Slovensko, respektíve celá stredná Európa svedkom </w:t>
      </w:r>
      <w:proofErr w:type="spellStart"/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>tranzície</w:t>
      </w:r>
      <w:proofErr w:type="spellEnd"/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 xml:space="preserve"> biznisu do iných lokalít, musí nájsť spôsob, ako dostať na svoj trh práce dodatočných kandidátov,“ 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>konštatuje riaditeľ personálnej agentúry.</w:t>
      </w:r>
    </w:p>
    <w:p w14:paraId="766F8D80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</w:p>
    <w:p w14:paraId="309457E5" w14:textId="77777777" w:rsidR="00C133D7" w:rsidRPr="00C133D7" w:rsidRDefault="00C133D7" w:rsidP="00C133D7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sk-SK" w:eastAsia="sk-SK"/>
        </w:rPr>
      </w:pPr>
      <w:r w:rsidRPr="00C133D7">
        <w:rPr>
          <w:rFonts w:eastAsia="Times New Roman" w:cs="Calibri"/>
          <w:szCs w:val="20"/>
          <w:lang w:val="sk-SK" w:eastAsia="sk-SK"/>
        </w:rPr>
        <w:t>Z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mena podľa neho nastane najmä v prístupe firiem. </w:t>
      </w:r>
      <w:r w:rsidRPr="00C133D7">
        <w:rPr>
          <w:rFonts w:ascii="Calibri" w:eastAsia="Times New Roman" w:hAnsi="Calibri" w:cs="Calibri"/>
          <w:i/>
          <w:iCs/>
          <w:szCs w:val="20"/>
          <w:lang w:val="sk-SK" w:eastAsia="sk-SK"/>
        </w:rPr>
        <w:t>„Viaceré budú investovať do nových technológií, predovšetkým do automatizácie a robotizácie, a tiež do redukcie interných procesov pomocou umelej inteligencie. To zároveň prinesie novovznikajúce pozície na pracovnom trhu,“</w:t>
      </w:r>
      <w:r w:rsidRPr="00C133D7">
        <w:rPr>
          <w:rFonts w:ascii="Calibri" w:eastAsia="Times New Roman" w:hAnsi="Calibri" w:cs="Calibri"/>
          <w:szCs w:val="20"/>
          <w:lang w:val="sk-SK" w:eastAsia="sk-SK"/>
        </w:rPr>
        <w:t xml:space="preserve"> predpokladá M. Malo.</w:t>
      </w:r>
    </w:p>
    <w:p w14:paraId="067A17B5" w14:textId="77777777" w:rsidR="00E121EE" w:rsidRDefault="00E121EE" w:rsidP="00BF0D08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kern w:val="2"/>
          <w:lang w:val="sk-SK"/>
        </w:rPr>
      </w:pPr>
    </w:p>
    <w:p w14:paraId="3329C978" w14:textId="77777777" w:rsidR="00D276C6" w:rsidRPr="0038707C" w:rsidRDefault="00D276C6" w:rsidP="006D1E36">
      <w:pPr>
        <w:pStyle w:val="Bezriadkovania"/>
        <w:rPr>
          <w:rStyle w:val="hwtze"/>
          <w:rFonts w:cstheme="minorHAnsi"/>
          <w:lang w:val="sk-SK"/>
        </w:rPr>
      </w:pPr>
    </w:p>
    <w:p w14:paraId="0CCCCCCA" w14:textId="77777777" w:rsidR="00D276C6" w:rsidRPr="0038707C" w:rsidRDefault="00D276C6" w:rsidP="006D1E36">
      <w:pPr>
        <w:pStyle w:val="Bezriadkovania"/>
        <w:rPr>
          <w:rStyle w:val="hwtze"/>
          <w:rFonts w:cstheme="minorHAnsi"/>
          <w:lang w:val="sk-SK"/>
        </w:rPr>
      </w:pPr>
    </w:p>
    <w:bookmarkEnd w:id="0"/>
    <w:p w14:paraId="431CE251" w14:textId="77777777" w:rsidR="006D1E36" w:rsidRPr="0038707C" w:rsidRDefault="006D1E36" w:rsidP="006D1E36">
      <w:pPr>
        <w:pStyle w:val="Bezriadkovania"/>
        <w:rPr>
          <w:rStyle w:val="hwtze"/>
          <w:rFonts w:cstheme="minorHAnsi"/>
          <w:lang w:val="sk-SK"/>
        </w:rPr>
      </w:pPr>
    </w:p>
    <w:p w14:paraId="5C8B1332" w14:textId="4FE045D9" w:rsidR="00EE3D78" w:rsidRPr="00EE3D78" w:rsidRDefault="00EE3D78" w:rsidP="00EE3D78">
      <w:pPr>
        <w:pStyle w:val="Bezriadkovania"/>
        <w:jc w:val="both"/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</w:pPr>
      <w:r w:rsidRPr="00EE3D78">
        <w:rPr>
          <w:rFonts w:ascii="Calibri" w:hAnsi="Calibri" w:cs="Calibri"/>
          <w:b/>
          <w:noProof/>
          <w:color w:val="000000" w:themeColor="text1"/>
          <w:sz w:val="18"/>
          <w:szCs w:val="18"/>
          <w:lang w:val="sk-SK"/>
        </w:rPr>
        <w:t>Pre viac informácií kontaktujte</w:t>
      </w:r>
      <w:r w:rsidRPr="00EE3D78"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  <w:t xml:space="preserve">: </w:t>
      </w:r>
    </w:p>
    <w:p w14:paraId="5E6C42E6" w14:textId="77777777" w:rsidR="00EE3D78" w:rsidRPr="00EE3D78" w:rsidRDefault="00EE3D78" w:rsidP="00EE3D78">
      <w:pPr>
        <w:pStyle w:val="Bezriadkovania"/>
        <w:jc w:val="both"/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</w:pPr>
      <w:r w:rsidRPr="00EE3D78"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  <w:t xml:space="preserve">Katarína Droppová, PR Consultant, 10/10 COMMUNICATIONS, +421 948 288 228, </w:t>
      </w:r>
      <w:r w:rsidRPr="00EE3D78">
        <w:rPr>
          <w:rFonts w:ascii="Calibri" w:hAnsi="Calibri" w:cs="Calibri"/>
          <w:noProof/>
          <w:color w:val="000000" w:themeColor="text1"/>
          <w:sz w:val="18"/>
          <w:szCs w:val="18"/>
          <w:u w:val="single"/>
          <w:lang w:val="sk-SK"/>
        </w:rPr>
        <w:t>katarina.droppova@1010comms.sk</w:t>
      </w:r>
    </w:p>
    <w:p w14:paraId="7A4F544F" w14:textId="77777777" w:rsidR="00EE3D78" w:rsidRPr="00EE3D78" w:rsidRDefault="00EE3D78" w:rsidP="00EE3D78">
      <w:pPr>
        <w:pStyle w:val="Bezriadkovania"/>
        <w:jc w:val="both"/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</w:pPr>
      <w:r w:rsidRPr="00EE3D78">
        <w:rPr>
          <w:rFonts w:ascii="Calibri" w:hAnsi="Calibri" w:cs="Calibri"/>
          <w:noProof/>
          <w:color w:val="000000" w:themeColor="text1"/>
          <w:sz w:val="18"/>
          <w:szCs w:val="18"/>
          <w:lang w:val="sk-SK"/>
        </w:rPr>
        <w:t xml:space="preserve">Silvia Keráková, PR Consultant, 10/10 COMMUNICATIONS, +421 940 601 902, </w:t>
      </w:r>
      <w:r w:rsidRPr="00EE3D78">
        <w:rPr>
          <w:rFonts w:ascii="Calibri" w:hAnsi="Calibri" w:cs="Calibri"/>
          <w:noProof/>
          <w:color w:val="000000" w:themeColor="text1"/>
          <w:sz w:val="18"/>
          <w:szCs w:val="18"/>
          <w:u w:val="single"/>
          <w:lang w:val="sk-SK"/>
        </w:rPr>
        <w:t>silvia.kerakova@1010comms.sk</w:t>
      </w:r>
    </w:p>
    <w:p w14:paraId="3D3BE2FA" w14:textId="77777777" w:rsidR="00EE3D78" w:rsidRDefault="00EE3D78" w:rsidP="0047735C">
      <w:pPr>
        <w:rPr>
          <w:rFonts w:ascii="Verdana" w:hAnsi="Verdana" w:cstheme="minorHAnsi"/>
          <w:sz w:val="20"/>
          <w:szCs w:val="20"/>
          <w:lang w:val="sk-SK"/>
        </w:rPr>
      </w:pPr>
    </w:p>
    <w:p w14:paraId="3CE5F47C" w14:textId="1A9958A4" w:rsidR="00DB2670" w:rsidRPr="00810F16" w:rsidRDefault="00DB2670" w:rsidP="006350A6">
      <w:pPr>
        <w:rPr>
          <w:rFonts w:ascii="Calibri" w:hAnsi="Calibri" w:cs="Calibri"/>
          <w:b/>
          <w:color w:val="000000" w:themeColor="text1"/>
          <w:sz w:val="20"/>
          <w:szCs w:val="20"/>
          <w:lang w:val="sk-SK"/>
        </w:rPr>
      </w:pPr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 xml:space="preserve">O </w:t>
      </w:r>
      <w:bookmarkStart w:id="3" w:name="__DdeLink__106_353089834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 xml:space="preserve">Grafton </w:t>
      </w:r>
      <w:bookmarkEnd w:id="3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>Slovakia</w:t>
      </w:r>
    </w:p>
    <w:p w14:paraId="2989E413" w14:textId="5F5A0E5B" w:rsidR="00F331A3" w:rsidRPr="00810F16" w:rsidRDefault="00DB2670" w:rsidP="00EE3D78">
      <w:pPr>
        <w:jc w:val="both"/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</w:pPr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Personálna agentúra Grafton Slovakia bola založená v roku 2004 a v súčasnej dobe pôsobí v Bratislave, Nitre, Košiciach, Prešove a Žiline. Je súčasťou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Group Holding. Svojim lokálnym aj medzinárodným klientom, ako i uchádzačom o prácu ponúka široké portfólio služieb v oblasti náboru, dočasného pridelenia zamestnancov </w:t>
      </w:r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lastRenderedPageBreak/>
        <w:t xml:space="preserve">a talent manažmentu či rôznorodých HR riešení. Pripravuje tiež na mieru riešenia outsourcingu alebo kompletné zaistenie servisu náboru riadením celého procesu ako hlavný dodávateľ. Patrí medzi popredných poskytovateľov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outplacementových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služieb a poradenstva, ako aj výberu zamestnancov pomocou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assessment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centier, špeciálnych testov a dodatočne ponúka poradenský servis v oblasti ľudských zdrojov. Viac na </w:t>
      </w:r>
      <w:hyperlink r:id="rId8">
        <w:r w:rsidRPr="00810F16">
          <w:rPr>
            <w:rFonts w:ascii="Calibri" w:hAnsi="Calibri" w:cs="Calibri"/>
            <w:color w:val="000000" w:themeColor="text1"/>
            <w:sz w:val="20"/>
            <w:szCs w:val="20"/>
            <w:u w:val="single"/>
            <w:lang w:val="sk-SK"/>
          </w:rPr>
          <w:t>www.grafton.sk</w:t>
        </w:r>
      </w:hyperlink>
    </w:p>
    <w:p w14:paraId="6F929F01" w14:textId="3C8A87D6" w:rsidR="00EE3D78" w:rsidRPr="00810F16" w:rsidRDefault="00EE3D78" w:rsidP="00EE3D78">
      <w:pPr>
        <w:jc w:val="both"/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</w:pPr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>O </w:t>
      </w:r>
      <w:proofErr w:type="spellStart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rFonts w:ascii="Calibri" w:eastAsia="GillSansCE-Light" w:hAnsi="Calibri" w:cs="Calibri"/>
          <w:b/>
          <w:color w:val="000000" w:themeColor="text1"/>
          <w:sz w:val="20"/>
          <w:szCs w:val="20"/>
          <w:lang w:val="sk-SK"/>
        </w:rPr>
        <w:t xml:space="preserve"> Group Holding</w:t>
      </w:r>
    </w:p>
    <w:p w14:paraId="3A6F8510" w14:textId="268FBE96" w:rsidR="009A33F4" w:rsidRPr="000C67E3" w:rsidRDefault="00EE3D78" w:rsidP="00C17D75">
      <w:pPr>
        <w:jc w:val="both"/>
        <w:rPr>
          <w:color w:val="000000" w:themeColor="text1"/>
          <w:lang w:val="sk-SK"/>
        </w:rPr>
      </w:pP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Group Holding je prvá talianska nadnárodná spoločnosť pôsobiaca v oblasti zamestnávania a zároveň je jedným zo svetových lídrov v oblasti služieb zameraných na rozvoj trhu práce. Skupina pôsobí v oblasti dočasného pridelenia i zamestnávania na hlavný pracovný pomer, ďalej potom vyhľadávania a výberu zamestnancov,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executive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search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, školenia, podpory </w:t>
      </w:r>
      <w:proofErr w:type="spellStart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>relokácie</w:t>
      </w:r>
      <w:proofErr w:type="spellEnd"/>
      <w:r w:rsidRPr="00810F16">
        <w:rPr>
          <w:rFonts w:ascii="Calibri" w:eastAsia="GillSansCE-Light" w:hAnsi="Calibri" w:cs="Calibri"/>
          <w:color w:val="000000" w:themeColor="text1"/>
          <w:sz w:val="20"/>
          <w:szCs w:val="20"/>
          <w:lang w:val="sk-SK"/>
        </w:rPr>
        <w:t xml:space="preserve">, outsourcingu a poradenstva v oblasti personálnych a administratívnych služieb. </w:t>
      </w:r>
      <w:r w:rsidRPr="00810F16">
        <w:rPr>
          <w:color w:val="000000" w:themeColor="text1"/>
          <w:sz w:val="20"/>
          <w:szCs w:val="20"/>
          <w:lang w:val="sk-SK"/>
        </w:rPr>
        <w:t xml:space="preserve">Spoločnosť zamestnáva viac než 6 000 zamestnancov a vďaka svojej priamej prítomnosti a strategickým partnerstvám pôsobí vo viac než 100 krajinách Európy, APAC, Ameriky a Afriky. </w:t>
      </w:r>
      <w:proofErr w:type="spellStart"/>
      <w:r w:rsidRPr="00810F16">
        <w:rPr>
          <w:color w:val="000000" w:themeColor="text1"/>
          <w:sz w:val="20"/>
          <w:szCs w:val="20"/>
          <w:lang w:val="sk-SK"/>
        </w:rPr>
        <w:t>Gi</w:t>
      </w:r>
      <w:proofErr w:type="spellEnd"/>
      <w:r w:rsidRPr="00810F16">
        <w:rPr>
          <w:color w:val="000000" w:themeColor="text1"/>
          <w:sz w:val="20"/>
          <w:szCs w:val="20"/>
          <w:lang w:val="sk-SK"/>
        </w:rPr>
        <w:t xml:space="preserve"> Group Holding poskytuje služby viac než 20 000 klientskych spoločnostiam a s tržbami vo výške 3,3 miliardy EUR (2021) je 5. najväčšou európskou personálnou firmou a 16. na svete (podľa </w:t>
      </w:r>
      <w:proofErr w:type="spellStart"/>
      <w:r w:rsidRPr="00810F16">
        <w:rPr>
          <w:color w:val="000000" w:themeColor="text1"/>
          <w:sz w:val="20"/>
          <w:szCs w:val="20"/>
          <w:lang w:val="sk-SK"/>
        </w:rPr>
        <w:t>Staffing</w:t>
      </w:r>
      <w:proofErr w:type="spellEnd"/>
      <w:r w:rsidRPr="00810F16">
        <w:rPr>
          <w:color w:val="000000" w:themeColor="text1"/>
          <w:sz w:val="20"/>
          <w:szCs w:val="20"/>
          <w:lang w:val="sk-SK"/>
        </w:rPr>
        <w:t xml:space="preserve"> Industry </w:t>
      </w:r>
      <w:proofErr w:type="spellStart"/>
      <w:r w:rsidRPr="00810F16">
        <w:rPr>
          <w:color w:val="000000" w:themeColor="text1"/>
          <w:sz w:val="20"/>
          <w:szCs w:val="20"/>
          <w:lang w:val="sk-SK"/>
        </w:rPr>
        <w:t>Analysts</w:t>
      </w:r>
      <w:proofErr w:type="spellEnd"/>
      <w:r w:rsidRPr="00810F16">
        <w:rPr>
          <w:color w:val="000000" w:themeColor="text1"/>
          <w:sz w:val="20"/>
          <w:szCs w:val="20"/>
          <w:lang w:val="sk-SK"/>
        </w:rPr>
        <w:t>).</w:t>
      </w:r>
      <w:r w:rsidRPr="00810F16">
        <w:rPr>
          <w:b/>
          <w:bCs/>
          <w:color w:val="000000" w:themeColor="text1"/>
          <w:sz w:val="20"/>
          <w:szCs w:val="20"/>
          <w:lang w:val="sk-SK"/>
        </w:rPr>
        <w:t xml:space="preserve"> </w:t>
      </w:r>
      <w:hyperlink r:id="rId9" w:history="1">
        <w:r w:rsidRPr="00810F16">
          <w:rPr>
            <w:rStyle w:val="Hypertextovprepojenie"/>
            <w:color w:val="000000" w:themeColor="text1"/>
            <w:sz w:val="20"/>
            <w:szCs w:val="20"/>
            <w:lang w:val="sk-SK"/>
          </w:rPr>
          <w:t>www.gigroupholding.com</w:t>
        </w:r>
      </w:hyperlink>
    </w:p>
    <w:sectPr w:rsidR="009A33F4" w:rsidRPr="000C67E3" w:rsidSect="00AB014E">
      <w:headerReference w:type="default" r:id="rId10"/>
      <w:footerReference w:type="default" r:id="rId11"/>
      <w:pgSz w:w="11906" w:h="16838"/>
      <w:pgMar w:top="154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4F96" w14:textId="77777777" w:rsidR="00F27489" w:rsidRDefault="00F27489" w:rsidP="00BA3102">
      <w:pPr>
        <w:spacing w:after="0" w:line="240" w:lineRule="auto"/>
      </w:pPr>
      <w:r>
        <w:separator/>
      </w:r>
    </w:p>
  </w:endnote>
  <w:endnote w:type="continuationSeparator" w:id="0">
    <w:p w14:paraId="01EBC04C" w14:textId="77777777" w:rsidR="00F27489" w:rsidRDefault="00F27489" w:rsidP="00B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SansCE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B709" w14:textId="0276E310" w:rsidR="00F77635" w:rsidRDefault="00AB014E" w:rsidP="009A33F4">
    <w:pPr>
      <w:pStyle w:val="Pta"/>
      <w:ind w:left="-1417"/>
      <w:rPr>
        <w:noProof/>
      </w:rPr>
    </w:pPr>
    <w:r w:rsidRPr="00AB014E">
      <w:rPr>
        <w:noProof/>
      </w:rPr>
      <w:drawing>
        <wp:anchor distT="0" distB="0" distL="114300" distR="114300" simplePos="0" relativeHeight="251666432" behindDoc="1" locked="0" layoutInCell="1" allowOverlap="1" wp14:anchorId="50CE1EEC" wp14:editId="13F2FADF">
          <wp:simplePos x="0" y="0"/>
          <wp:positionH relativeFrom="column">
            <wp:posOffset>-1943735</wp:posOffset>
          </wp:positionH>
          <wp:positionV relativeFrom="paragraph">
            <wp:posOffset>-92710</wp:posOffset>
          </wp:positionV>
          <wp:extent cx="5760720" cy="1810385"/>
          <wp:effectExtent l="0" t="0" r="0" b="0"/>
          <wp:wrapNone/>
          <wp:docPr id="31" name="Obrázo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93EFF6" w14:textId="4D637CEA" w:rsidR="005A503D" w:rsidRDefault="005A503D" w:rsidP="009A33F4">
    <w:pPr>
      <w:pStyle w:val="Pta"/>
      <w:ind w:left="-1417"/>
    </w:pPr>
    <w:r>
      <w:rPr>
        <w:noProof/>
      </w:rPr>
      <w:t xml:space="preserve">           </w:t>
    </w:r>
    <w:r>
      <w:rPr>
        <w:noProof/>
        <w:lang w:val="sk-SK" w:eastAsia="sk-SK"/>
      </w:rPr>
      <w:drawing>
        <wp:inline distT="0" distB="0" distL="0" distR="0" wp14:anchorId="43774A1D" wp14:editId="2FFEA193">
          <wp:extent cx="994868" cy="390722"/>
          <wp:effectExtent l="0" t="0" r="0" b="9525"/>
          <wp:docPr id="2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115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C56307">
      <w:rPr>
        <w:noProof/>
      </w:rPr>
      <w:drawing>
        <wp:inline distT="0" distB="0" distL="0" distR="0" wp14:anchorId="7CBC0202" wp14:editId="444AD0A3">
          <wp:extent cx="940570" cy="387985"/>
          <wp:effectExtent l="0" t="0" r="0" b="0"/>
          <wp:docPr id="12024519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519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43532" cy="389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tab/>
    </w:r>
  </w:p>
  <w:p w14:paraId="392FC1B1" w14:textId="45704505" w:rsidR="005A503D" w:rsidRDefault="005A503D" w:rsidP="009A33F4">
    <w:pPr>
      <w:pStyle w:val="Pta"/>
      <w:ind w:left="-1417"/>
    </w:pPr>
  </w:p>
  <w:p w14:paraId="6CEE7F44" w14:textId="654D35D0" w:rsidR="005A503D" w:rsidRDefault="005A503D" w:rsidP="009A33F4">
    <w:pPr>
      <w:autoSpaceDE w:val="0"/>
      <w:autoSpaceDN w:val="0"/>
      <w:adjustRightInd w:val="0"/>
      <w:spacing w:after="0" w:line="240" w:lineRule="auto"/>
      <w:ind w:left="-851"/>
      <w:rPr>
        <w:rFonts w:cs="Calibri"/>
        <w:color w:val="585757"/>
        <w:sz w:val="18"/>
        <w:szCs w:val="18"/>
        <w:lang w:eastAsia="cs-CZ"/>
      </w:rPr>
    </w:pPr>
    <w:r>
      <w:rPr>
        <w:rFonts w:cs="Calibri"/>
        <w:color w:val="585757"/>
        <w:sz w:val="18"/>
        <w:szCs w:val="18"/>
        <w:lang w:eastAsia="cs-CZ"/>
      </w:rPr>
      <w:t>Obchodná 2, 811 01 Bratislava</w:t>
    </w:r>
  </w:p>
  <w:p w14:paraId="14953CAE" w14:textId="52621D2E" w:rsidR="005A503D" w:rsidRDefault="005A503D" w:rsidP="009A33F4">
    <w:pPr>
      <w:ind w:left="-851"/>
    </w:pPr>
    <w:r w:rsidRPr="00AB014E">
      <w:rPr>
        <w:rFonts w:ascii="Calibri-Bold" w:hAnsi="Calibri-Bold" w:cs="Calibri-Bold"/>
        <w:b/>
        <w:bCs/>
        <w:color w:val="002060"/>
        <w:sz w:val="18"/>
        <w:szCs w:val="18"/>
        <w:lang w:val="sk-SK" w:eastAsia="cs-CZ"/>
      </w:rPr>
      <w:t>T</w:t>
    </w:r>
    <w:r w:rsidRPr="00AB014E">
      <w:rPr>
        <w:rFonts w:cs="Calibri"/>
        <w:color w:val="002060"/>
        <w:sz w:val="18"/>
        <w:szCs w:val="18"/>
        <w:lang w:val="sk-SK" w:eastAsia="cs-CZ"/>
      </w:rPr>
      <w:t xml:space="preserve">: </w:t>
    </w:r>
    <w:r w:rsidR="00D839E6" w:rsidRPr="00AB014E">
      <w:rPr>
        <w:rFonts w:cs="Calibri"/>
        <w:color w:val="585757"/>
        <w:sz w:val="18"/>
        <w:szCs w:val="18"/>
        <w:lang w:val="sk-SK" w:eastAsia="cs-CZ"/>
      </w:rPr>
      <w:t>+421 259 208 111</w:t>
    </w:r>
    <w:r w:rsidRPr="00AB014E">
      <w:rPr>
        <w:rFonts w:cs="Calibri"/>
        <w:color w:val="585757"/>
        <w:sz w:val="18"/>
        <w:szCs w:val="18"/>
        <w:lang w:val="sk-SK" w:eastAsia="cs-CZ"/>
      </w:rPr>
      <w:t xml:space="preserve">  </w:t>
    </w:r>
    <w:r w:rsidRPr="00AB014E">
      <w:rPr>
        <w:rFonts w:ascii="Calibri-Bold" w:hAnsi="Calibri-Bold" w:cs="Calibri-Bold"/>
        <w:b/>
        <w:bCs/>
        <w:color w:val="002060"/>
        <w:sz w:val="18"/>
        <w:szCs w:val="18"/>
        <w:lang w:val="sk-SK" w:eastAsia="cs-CZ"/>
      </w:rPr>
      <w:t>E</w:t>
    </w:r>
    <w:r w:rsidRPr="00AB014E">
      <w:rPr>
        <w:rFonts w:cs="Calibri"/>
        <w:color w:val="002060"/>
        <w:sz w:val="18"/>
        <w:szCs w:val="18"/>
        <w:lang w:val="sk-SK" w:eastAsia="cs-CZ"/>
      </w:rPr>
      <w:t>:</w:t>
    </w:r>
    <w:r w:rsidRPr="00AB014E">
      <w:rPr>
        <w:rFonts w:cs="Calibri"/>
        <w:color w:val="C3172F"/>
        <w:sz w:val="18"/>
        <w:szCs w:val="18"/>
        <w:lang w:val="sk-SK" w:eastAsia="cs-CZ"/>
      </w:rPr>
      <w:t xml:space="preserve"> </w:t>
    </w:r>
    <w:proofErr w:type="spellStart"/>
    <w:r w:rsidRPr="00AB014E">
      <w:rPr>
        <w:rFonts w:cs="Calibri"/>
        <w:color w:val="585757"/>
        <w:sz w:val="18"/>
        <w:szCs w:val="18"/>
        <w:lang w:val="sk-SK" w:eastAsia="cs-CZ"/>
      </w:rPr>
      <w:t>info@grafton</w:t>
    </w:r>
    <w:proofErr w:type="spellEnd"/>
    <w:r>
      <w:rPr>
        <w:rFonts w:cs="Calibri"/>
        <w:color w:val="585757"/>
        <w:sz w:val="18"/>
        <w:szCs w:val="18"/>
        <w:lang w:eastAsia="cs-CZ"/>
      </w:rPr>
      <w:t>.</w:t>
    </w:r>
    <w:proofErr w:type="spellStart"/>
    <w:r>
      <w:rPr>
        <w:rFonts w:cs="Calibri"/>
        <w:color w:val="585757"/>
        <w:sz w:val="18"/>
        <w:szCs w:val="18"/>
        <w:lang w:eastAsia="cs-CZ"/>
      </w:rPr>
      <w:t>sk</w:t>
    </w:r>
    <w:proofErr w:type="spellEnd"/>
    <w:r w:rsidR="00D839E6">
      <w:rPr>
        <w:rFonts w:cs="Calibri"/>
        <w:color w:val="585757"/>
        <w:sz w:val="18"/>
        <w:szCs w:val="18"/>
        <w:lang w:eastAsia="cs-CZ"/>
      </w:rPr>
      <w:t xml:space="preserve">    </w:t>
    </w:r>
    <w:r>
      <w:rPr>
        <w:rFonts w:cs="Calibri"/>
        <w:color w:val="585757"/>
        <w:sz w:val="18"/>
        <w:szCs w:val="18"/>
        <w:lang w:eastAsia="cs-CZ"/>
      </w:rPr>
      <w:t xml:space="preserve"> </w:t>
    </w:r>
    <w:r>
      <w:rPr>
        <w:rFonts w:cs="Calibri"/>
        <w:color w:val="002060"/>
        <w:sz w:val="18"/>
        <w:szCs w:val="18"/>
        <w:lang w:eastAsia="cs-CZ"/>
      </w:rPr>
      <w:t>www.grafton.sk</w:t>
    </w:r>
  </w:p>
  <w:p w14:paraId="52256A46" w14:textId="21234F58" w:rsidR="005A503D" w:rsidRDefault="005A503D" w:rsidP="009A33F4">
    <w:pPr>
      <w:pStyle w:val="Pta"/>
      <w:ind w:left="-1417"/>
    </w:pPr>
    <w:r>
      <w:tab/>
    </w:r>
  </w:p>
  <w:p w14:paraId="29F662CC" w14:textId="52FC2695" w:rsidR="005A503D" w:rsidRPr="009A33F4" w:rsidRDefault="005A503D" w:rsidP="009A33F4">
    <w:pPr>
      <w:pStyle w:val="Pta"/>
      <w:tabs>
        <w:tab w:val="clear" w:pos="4536"/>
        <w:tab w:val="clear" w:pos="9072"/>
        <w:tab w:val="left" w:pos="1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B51B" w14:textId="77777777" w:rsidR="00F27489" w:rsidRDefault="00F27489" w:rsidP="00BA3102">
      <w:pPr>
        <w:spacing w:after="0" w:line="240" w:lineRule="auto"/>
      </w:pPr>
      <w:r>
        <w:separator/>
      </w:r>
    </w:p>
  </w:footnote>
  <w:footnote w:type="continuationSeparator" w:id="0">
    <w:p w14:paraId="41D232F9" w14:textId="77777777" w:rsidR="00F27489" w:rsidRDefault="00F27489" w:rsidP="00B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54C" w14:textId="4B943A8B" w:rsidR="00F77635" w:rsidRDefault="00F77635" w:rsidP="009A33F4">
    <w:pPr>
      <w:pStyle w:val="Hlavika"/>
      <w:tabs>
        <w:tab w:val="left" w:pos="675"/>
      </w:tabs>
    </w:pPr>
    <w:r>
      <w:rPr>
        <w:noProof/>
        <w:lang w:val="sk-SK" w:eastAsia="sk-SK"/>
      </w:rPr>
      <w:drawing>
        <wp:anchor distT="152400" distB="152400" distL="152400" distR="152400" simplePos="0" relativeHeight="251663360" behindDoc="1" locked="0" layoutInCell="1" allowOverlap="1" wp14:anchorId="2FF5B516" wp14:editId="1B707E83">
          <wp:simplePos x="0" y="0"/>
          <wp:positionH relativeFrom="margin">
            <wp:posOffset>4557395</wp:posOffset>
          </wp:positionH>
          <wp:positionV relativeFrom="margin">
            <wp:posOffset>-1047750</wp:posOffset>
          </wp:positionV>
          <wp:extent cx="1555204" cy="538158"/>
          <wp:effectExtent l="0" t="0" r="6985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204" cy="5381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A503D">
      <w:tab/>
    </w:r>
    <w:r w:rsidR="005A503D">
      <w:tab/>
    </w:r>
  </w:p>
  <w:p w14:paraId="2EDDA352" w14:textId="77777777" w:rsidR="00F77635" w:rsidRDefault="00F77635" w:rsidP="009A33F4">
    <w:pPr>
      <w:pStyle w:val="Hlavika"/>
      <w:tabs>
        <w:tab w:val="left" w:pos="675"/>
      </w:tabs>
    </w:pPr>
  </w:p>
  <w:p w14:paraId="38254C0D" w14:textId="77777777" w:rsidR="00F77635" w:rsidRDefault="00F77635" w:rsidP="009A33F4">
    <w:pPr>
      <w:pStyle w:val="Hlavika"/>
      <w:tabs>
        <w:tab w:val="left" w:pos="675"/>
      </w:tabs>
    </w:pPr>
  </w:p>
  <w:p w14:paraId="718BAC60" w14:textId="77777777" w:rsidR="00F77635" w:rsidRDefault="00F77635" w:rsidP="009A33F4">
    <w:pPr>
      <w:pStyle w:val="Hlavika"/>
      <w:tabs>
        <w:tab w:val="left" w:pos="675"/>
      </w:tabs>
    </w:pPr>
  </w:p>
  <w:p w14:paraId="24A68A43" w14:textId="1096B27A" w:rsidR="005A503D" w:rsidRDefault="00F77635" w:rsidP="009A33F4">
    <w:pPr>
      <w:pStyle w:val="Hlavika"/>
      <w:tabs>
        <w:tab w:val="left" w:pos="675"/>
      </w:tabs>
    </w:pPr>
    <w:r>
      <w:rPr>
        <w:noProof/>
        <w:lang w:val="sk-SK" w:eastAsia="sk-SK"/>
      </w:rPr>
      <w:drawing>
        <wp:anchor distT="152400" distB="152400" distL="152400" distR="152400" simplePos="0" relativeHeight="251665408" behindDoc="1" locked="0" layoutInCell="1" allowOverlap="1" wp14:anchorId="06609D5A" wp14:editId="692E6387">
          <wp:simplePos x="0" y="0"/>
          <wp:positionH relativeFrom="page">
            <wp:posOffset>1403667</wp:posOffset>
          </wp:positionH>
          <wp:positionV relativeFrom="page">
            <wp:posOffset>2227263</wp:posOffset>
          </wp:positionV>
          <wp:extent cx="9115425" cy="4248150"/>
          <wp:effectExtent l="0" t="4762" r="4762" b="0"/>
          <wp:wrapNone/>
          <wp:docPr id="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9115425" cy="424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0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7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51AE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497975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72B73"/>
    <w:multiLevelType w:val="hybridMultilevel"/>
    <w:tmpl w:val="4560DAAE"/>
    <w:lvl w:ilvl="0" w:tplc="F322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2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A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2F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F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6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2A5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66B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AA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765260"/>
    <w:multiLevelType w:val="hybridMultilevel"/>
    <w:tmpl w:val="C88C3842"/>
    <w:lvl w:ilvl="0" w:tplc="152C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2787"/>
    <w:multiLevelType w:val="hybridMultilevel"/>
    <w:tmpl w:val="FEF82508"/>
    <w:lvl w:ilvl="0" w:tplc="346A58F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079B0"/>
    <w:multiLevelType w:val="hybridMultilevel"/>
    <w:tmpl w:val="32425556"/>
    <w:lvl w:ilvl="0" w:tplc="4142DA6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55852"/>
    <w:multiLevelType w:val="hybridMultilevel"/>
    <w:tmpl w:val="B36A6A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977919">
    <w:abstractNumId w:val="4"/>
  </w:num>
  <w:num w:numId="2" w16cid:durableId="427819167">
    <w:abstractNumId w:val="3"/>
  </w:num>
  <w:num w:numId="3" w16cid:durableId="89131823">
    <w:abstractNumId w:val="6"/>
  </w:num>
  <w:num w:numId="4" w16cid:durableId="1664161250">
    <w:abstractNumId w:val="5"/>
  </w:num>
  <w:num w:numId="5" w16cid:durableId="82074545">
    <w:abstractNumId w:val="7"/>
  </w:num>
  <w:num w:numId="6" w16cid:durableId="348026183">
    <w:abstractNumId w:val="0"/>
  </w:num>
  <w:num w:numId="7" w16cid:durableId="27611912">
    <w:abstractNumId w:val="1"/>
  </w:num>
  <w:num w:numId="8" w16cid:durableId="52922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2"/>
    <w:rsid w:val="000052F6"/>
    <w:rsid w:val="00020AE3"/>
    <w:rsid w:val="00023803"/>
    <w:rsid w:val="00025A03"/>
    <w:rsid w:val="00061AB8"/>
    <w:rsid w:val="000775BE"/>
    <w:rsid w:val="00077852"/>
    <w:rsid w:val="000877D8"/>
    <w:rsid w:val="000B1334"/>
    <w:rsid w:val="000C1BAF"/>
    <w:rsid w:val="000C2AD9"/>
    <w:rsid w:val="000C67E3"/>
    <w:rsid w:val="000D6147"/>
    <w:rsid w:val="000E2EB4"/>
    <w:rsid w:val="000F21C9"/>
    <w:rsid w:val="00101BA2"/>
    <w:rsid w:val="00103E14"/>
    <w:rsid w:val="00107A78"/>
    <w:rsid w:val="001149C1"/>
    <w:rsid w:val="00122856"/>
    <w:rsid w:val="00130CE3"/>
    <w:rsid w:val="0013179A"/>
    <w:rsid w:val="00135B05"/>
    <w:rsid w:val="00143B51"/>
    <w:rsid w:val="00150ED5"/>
    <w:rsid w:val="0017631F"/>
    <w:rsid w:val="00177468"/>
    <w:rsid w:val="00181C71"/>
    <w:rsid w:val="001B04D2"/>
    <w:rsid w:val="001B37BE"/>
    <w:rsid w:val="001C24D1"/>
    <w:rsid w:val="001C67AD"/>
    <w:rsid w:val="001C72E9"/>
    <w:rsid w:val="001D1C6D"/>
    <w:rsid w:val="001D4438"/>
    <w:rsid w:val="001E0857"/>
    <w:rsid w:val="001E279B"/>
    <w:rsid w:val="00202CAE"/>
    <w:rsid w:val="00207B06"/>
    <w:rsid w:val="00225478"/>
    <w:rsid w:val="00230CDF"/>
    <w:rsid w:val="002376E4"/>
    <w:rsid w:val="00243CCF"/>
    <w:rsid w:val="0024435A"/>
    <w:rsid w:val="00247137"/>
    <w:rsid w:val="002908A5"/>
    <w:rsid w:val="002A1A5E"/>
    <w:rsid w:val="002D0B4A"/>
    <w:rsid w:val="002E3F80"/>
    <w:rsid w:val="002F49E3"/>
    <w:rsid w:val="003010DB"/>
    <w:rsid w:val="003108E7"/>
    <w:rsid w:val="003156F4"/>
    <w:rsid w:val="0033197D"/>
    <w:rsid w:val="00332FDD"/>
    <w:rsid w:val="00340AD5"/>
    <w:rsid w:val="00341F77"/>
    <w:rsid w:val="003453C4"/>
    <w:rsid w:val="0035216A"/>
    <w:rsid w:val="00373473"/>
    <w:rsid w:val="00376BA9"/>
    <w:rsid w:val="00383DBA"/>
    <w:rsid w:val="00385AD5"/>
    <w:rsid w:val="0038707C"/>
    <w:rsid w:val="003A4BB0"/>
    <w:rsid w:val="003B116D"/>
    <w:rsid w:val="003B2B56"/>
    <w:rsid w:val="003B7A78"/>
    <w:rsid w:val="003D43CC"/>
    <w:rsid w:val="003D7489"/>
    <w:rsid w:val="003E2E77"/>
    <w:rsid w:val="003F16B0"/>
    <w:rsid w:val="004355BD"/>
    <w:rsid w:val="00443B05"/>
    <w:rsid w:val="00443F51"/>
    <w:rsid w:val="0045003A"/>
    <w:rsid w:val="00450B99"/>
    <w:rsid w:val="00451EF9"/>
    <w:rsid w:val="00462ED4"/>
    <w:rsid w:val="004638A6"/>
    <w:rsid w:val="004724AF"/>
    <w:rsid w:val="0047735C"/>
    <w:rsid w:val="00493925"/>
    <w:rsid w:val="004C4AF9"/>
    <w:rsid w:val="004D6C0D"/>
    <w:rsid w:val="004E0210"/>
    <w:rsid w:val="004E10AF"/>
    <w:rsid w:val="004E1190"/>
    <w:rsid w:val="004F32CD"/>
    <w:rsid w:val="005077B2"/>
    <w:rsid w:val="005148A9"/>
    <w:rsid w:val="00544A90"/>
    <w:rsid w:val="0058020D"/>
    <w:rsid w:val="005973FB"/>
    <w:rsid w:val="005A503D"/>
    <w:rsid w:val="005A667C"/>
    <w:rsid w:val="005A7F40"/>
    <w:rsid w:val="005B1713"/>
    <w:rsid w:val="005C6DF7"/>
    <w:rsid w:val="005C7922"/>
    <w:rsid w:val="005C7A8C"/>
    <w:rsid w:val="00606D77"/>
    <w:rsid w:val="00613F83"/>
    <w:rsid w:val="00631674"/>
    <w:rsid w:val="006350A6"/>
    <w:rsid w:val="00636F01"/>
    <w:rsid w:val="00637BD8"/>
    <w:rsid w:val="00665308"/>
    <w:rsid w:val="0066582D"/>
    <w:rsid w:val="00677641"/>
    <w:rsid w:val="00693178"/>
    <w:rsid w:val="006A724C"/>
    <w:rsid w:val="006A747F"/>
    <w:rsid w:val="006B03A7"/>
    <w:rsid w:val="006C6BFE"/>
    <w:rsid w:val="006D0EDD"/>
    <w:rsid w:val="006D1E36"/>
    <w:rsid w:val="006D4B6F"/>
    <w:rsid w:val="006E3B5A"/>
    <w:rsid w:val="006E4F21"/>
    <w:rsid w:val="006F7A3E"/>
    <w:rsid w:val="00702B43"/>
    <w:rsid w:val="00713917"/>
    <w:rsid w:val="00716354"/>
    <w:rsid w:val="007165AB"/>
    <w:rsid w:val="00724BB2"/>
    <w:rsid w:val="007324D4"/>
    <w:rsid w:val="00751EC7"/>
    <w:rsid w:val="00762936"/>
    <w:rsid w:val="00765955"/>
    <w:rsid w:val="007812B4"/>
    <w:rsid w:val="007931BA"/>
    <w:rsid w:val="007B775B"/>
    <w:rsid w:val="007D6DC2"/>
    <w:rsid w:val="007E386F"/>
    <w:rsid w:val="007F3FC3"/>
    <w:rsid w:val="0080309E"/>
    <w:rsid w:val="00810F16"/>
    <w:rsid w:val="00812511"/>
    <w:rsid w:val="00813939"/>
    <w:rsid w:val="00855D40"/>
    <w:rsid w:val="00856435"/>
    <w:rsid w:val="00874DD3"/>
    <w:rsid w:val="00883B51"/>
    <w:rsid w:val="00886F3C"/>
    <w:rsid w:val="00890CCB"/>
    <w:rsid w:val="008B31A7"/>
    <w:rsid w:val="008B6DBD"/>
    <w:rsid w:val="008D5B54"/>
    <w:rsid w:val="008E0F10"/>
    <w:rsid w:val="008E513D"/>
    <w:rsid w:val="008E6756"/>
    <w:rsid w:val="008F1135"/>
    <w:rsid w:val="008F229B"/>
    <w:rsid w:val="008F357D"/>
    <w:rsid w:val="009005B0"/>
    <w:rsid w:val="009025E7"/>
    <w:rsid w:val="00913DFE"/>
    <w:rsid w:val="00913E2F"/>
    <w:rsid w:val="00941C2A"/>
    <w:rsid w:val="009A0E2B"/>
    <w:rsid w:val="009A33F4"/>
    <w:rsid w:val="009A583A"/>
    <w:rsid w:val="009E77A9"/>
    <w:rsid w:val="009F6BC7"/>
    <w:rsid w:val="00A02AE1"/>
    <w:rsid w:val="00A04CD8"/>
    <w:rsid w:val="00A05FF2"/>
    <w:rsid w:val="00A4259F"/>
    <w:rsid w:val="00A53200"/>
    <w:rsid w:val="00A62227"/>
    <w:rsid w:val="00A6253F"/>
    <w:rsid w:val="00A86EB5"/>
    <w:rsid w:val="00A94EA0"/>
    <w:rsid w:val="00AB014E"/>
    <w:rsid w:val="00AC3999"/>
    <w:rsid w:val="00AC6795"/>
    <w:rsid w:val="00AD676C"/>
    <w:rsid w:val="00B12E78"/>
    <w:rsid w:val="00B21D28"/>
    <w:rsid w:val="00B40803"/>
    <w:rsid w:val="00B45447"/>
    <w:rsid w:val="00B508CF"/>
    <w:rsid w:val="00B51F0B"/>
    <w:rsid w:val="00B53435"/>
    <w:rsid w:val="00B66644"/>
    <w:rsid w:val="00B8451A"/>
    <w:rsid w:val="00B86154"/>
    <w:rsid w:val="00B94384"/>
    <w:rsid w:val="00BA3102"/>
    <w:rsid w:val="00BA7136"/>
    <w:rsid w:val="00BB5A97"/>
    <w:rsid w:val="00BD0B47"/>
    <w:rsid w:val="00BF0818"/>
    <w:rsid w:val="00BF0D08"/>
    <w:rsid w:val="00C052ED"/>
    <w:rsid w:val="00C066DF"/>
    <w:rsid w:val="00C10D19"/>
    <w:rsid w:val="00C11780"/>
    <w:rsid w:val="00C133D7"/>
    <w:rsid w:val="00C17D75"/>
    <w:rsid w:val="00C33191"/>
    <w:rsid w:val="00C33376"/>
    <w:rsid w:val="00C34049"/>
    <w:rsid w:val="00C46F3F"/>
    <w:rsid w:val="00C56307"/>
    <w:rsid w:val="00C65C70"/>
    <w:rsid w:val="00C765BC"/>
    <w:rsid w:val="00C80A01"/>
    <w:rsid w:val="00CB1177"/>
    <w:rsid w:val="00CB5221"/>
    <w:rsid w:val="00CC7888"/>
    <w:rsid w:val="00CC7CE4"/>
    <w:rsid w:val="00CE47B9"/>
    <w:rsid w:val="00CF3278"/>
    <w:rsid w:val="00CF32C3"/>
    <w:rsid w:val="00D06FFC"/>
    <w:rsid w:val="00D10855"/>
    <w:rsid w:val="00D276C6"/>
    <w:rsid w:val="00D30A15"/>
    <w:rsid w:val="00D460E5"/>
    <w:rsid w:val="00D6009E"/>
    <w:rsid w:val="00D64D5C"/>
    <w:rsid w:val="00D70027"/>
    <w:rsid w:val="00D839E6"/>
    <w:rsid w:val="00D849EC"/>
    <w:rsid w:val="00D937FB"/>
    <w:rsid w:val="00DA1BC9"/>
    <w:rsid w:val="00DA4DC0"/>
    <w:rsid w:val="00DB2670"/>
    <w:rsid w:val="00DB74B3"/>
    <w:rsid w:val="00DC12B1"/>
    <w:rsid w:val="00DC2A0C"/>
    <w:rsid w:val="00DE0956"/>
    <w:rsid w:val="00DE222F"/>
    <w:rsid w:val="00DF5238"/>
    <w:rsid w:val="00E121EE"/>
    <w:rsid w:val="00E27684"/>
    <w:rsid w:val="00E6264B"/>
    <w:rsid w:val="00E65CF1"/>
    <w:rsid w:val="00E725AD"/>
    <w:rsid w:val="00E870F2"/>
    <w:rsid w:val="00E9722E"/>
    <w:rsid w:val="00EB3D34"/>
    <w:rsid w:val="00EB4833"/>
    <w:rsid w:val="00EC2D07"/>
    <w:rsid w:val="00ED0255"/>
    <w:rsid w:val="00ED22DB"/>
    <w:rsid w:val="00ED4261"/>
    <w:rsid w:val="00ED77A1"/>
    <w:rsid w:val="00EE3D78"/>
    <w:rsid w:val="00EF0B09"/>
    <w:rsid w:val="00EF2A90"/>
    <w:rsid w:val="00EF67D6"/>
    <w:rsid w:val="00F058AE"/>
    <w:rsid w:val="00F11EF5"/>
    <w:rsid w:val="00F27489"/>
    <w:rsid w:val="00F331A3"/>
    <w:rsid w:val="00F40C9C"/>
    <w:rsid w:val="00F50838"/>
    <w:rsid w:val="00F615FE"/>
    <w:rsid w:val="00F63927"/>
    <w:rsid w:val="00F77635"/>
    <w:rsid w:val="00F868DA"/>
    <w:rsid w:val="00F90C91"/>
    <w:rsid w:val="00FB07E7"/>
    <w:rsid w:val="00FB5BF7"/>
    <w:rsid w:val="00FC6328"/>
    <w:rsid w:val="00FC6A1D"/>
    <w:rsid w:val="00FC7076"/>
    <w:rsid w:val="00FF5D95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12F0"/>
  <w15:docId w15:val="{D4A029CE-B1F3-4D77-9B2C-E36B31B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1C9"/>
    <w:rPr>
      <w:lang w:val="en-GB"/>
    </w:rPr>
  </w:style>
  <w:style w:type="paragraph" w:styleId="Nadpis1">
    <w:name w:val="heading 1"/>
    <w:basedOn w:val="Normlny"/>
    <w:link w:val="Nadpis1Char"/>
    <w:uiPriority w:val="9"/>
    <w:qFormat/>
    <w:rsid w:val="000F2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102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BA3102"/>
  </w:style>
  <w:style w:type="paragraph" w:styleId="Pta">
    <w:name w:val="footer"/>
    <w:basedOn w:val="Normlny"/>
    <w:link w:val="PtaChar"/>
    <w:uiPriority w:val="99"/>
    <w:unhideWhenUsed/>
    <w:rsid w:val="00BA3102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BA3102"/>
  </w:style>
  <w:style w:type="character" w:styleId="Hypertextovprepojenie">
    <w:name w:val="Hyperlink"/>
    <w:basedOn w:val="Predvolenpsmoodseku"/>
    <w:uiPriority w:val="99"/>
    <w:unhideWhenUsed/>
    <w:rsid w:val="00F50838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F21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ezriadkovania">
    <w:name w:val="No Spacing"/>
    <w:uiPriority w:val="1"/>
    <w:qFormat/>
    <w:rsid w:val="000F21C9"/>
    <w:pPr>
      <w:spacing w:after="0" w:line="240" w:lineRule="auto"/>
    </w:pPr>
    <w:rPr>
      <w:lang w:val="en-GB"/>
    </w:rPr>
  </w:style>
  <w:style w:type="character" w:customStyle="1" w:styleId="q4iawc">
    <w:name w:val="q4iawc"/>
    <w:basedOn w:val="Predvolenpsmoodseku"/>
    <w:rsid w:val="00F90C91"/>
  </w:style>
  <w:style w:type="paragraph" w:styleId="Odsekzoznamu">
    <w:name w:val="List Paragraph"/>
    <w:basedOn w:val="Normlny"/>
    <w:uiPriority w:val="34"/>
    <w:qFormat/>
    <w:rsid w:val="001E0857"/>
    <w:pPr>
      <w:spacing w:after="0" w:line="240" w:lineRule="auto"/>
      <w:ind w:left="720"/>
      <w:contextualSpacing/>
    </w:pPr>
    <w:rPr>
      <w:rFonts w:ascii="Calibri" w:hAnsi="Calibri" w:cs="Calibri"/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27684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04C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C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CD8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C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CD8"/>
    <w:rPr>
      <w:b/>
      <w:bCs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CD8"/>
    <w:rPr>
      <w:rFonts w:ascii="Segoe UI" w:hAnsi="Segoe UI" w:cs="Segoe UI"/>
      <w:sz w:val="18"/>
      <w:szCs w:val="18"/>
      <w:lang w:val="en-GB"/>
    </w:rPr>
  </w:style>
  <w:style w:type="character" w:styleId="Vrazn">
    <w:name w:val="Strong"/>
    <w:basedOn w:val="Predvolenpsmoodseku"/>
    <w:uiPriority w:val="22"/>
    <w:qFormat/>
    <w:rsid w:val="00FB07E7"/>
    <w:rPr>
      <w:b/>
      <w:bCs/>
    </w:rPr>
  </w:style>
  <w:style w:type="character" w:customStyle="1" w:styleId="article-hl">
    <w:name w:val="article-hl"/>
    <w:basedOn w:val="Predvolenpsmoodseku"/>
    <w:rsid w:val="00874DD3"/>
  </w:style>
  <w:style w:type="table" w:styleId="Mriekatabuky">
    <w:name w:val="Table Grid"/>
    <w:basedOn w:val="Normlnatabuka"/>
    <w:uiPriority w:val="39"/>
    <w:rsid w:val="000C67E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08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4E0210"/>
    <w:pPr>
      <w:spacing w:after="0" w:line="240" w:lineRule="auto"/>
    </w:pPr>
    <w:rPr>
      <w:lang w:val="en-GB"/>
    </w:rPr>
  </w:style>
  <w:style w:type="character" w:customStyle="1" w:styleId="rynqvb">
    <w:name w:val="rynqvb"/>
    <w:basedOn w:val="Predvolenpsmoodseku"/>
    <w:rsid w:val="0047735C"/>
  </w:style>
  <w:style w:type="character" w:customStyle="1" w:styleId="hwtze">
    <w:name w:val="hwtze"/>
    <w:basedOn w:val="Predvolenpsmoodseku"/>
    <w:rsid w:val="0047735C"/>
  </w:style>
  <w:style w:type="paragraph" w:customStyle="1" w:styleId="Pa6">
    <w:name w:val="Pa6"/>
    <w:basedOn w:val="Normlny"/>
    <w:next w:val="Normlny"/>
    <w:uiPriority w:val="99"/>
    <w:rsid w:val="00450B99"/>
    <w:pPr>
      <w:autoSpaceDE w:val="0"/>
      <w:autoSpaceDN w:val="0"/>
      <w:adjustRightInd w:val="0"/>
      <w:spacing w:after="0" w:line="171" w:lineRule="atLeast"/>
    </w:pPr>
    <w:rPr>
      <w:rFonts w:ascii="Open Sans Light" w:hAnsi="Open Sans Light"/>
      <w:sz w:val="24"/>
      <w:szCs w:val="24"/>
      <w:lang w:val="sk-SK"/>
    </w:rPr>
  </w:style>
  <w:style w:type="character" w:customStyle="1" w:styleId="hgkelc">
    <w:name w:val="hgkelc"/>
    <w:basedOn w:val="Predvolenpsmoodseku"/>
    <w:rsid w:val="00810F16"/>
  </w:style>
  <w:style w:type="character" w:customStyle="1" w:styleId="A14">
    <w:name w:val="A14"/>
    <w:uiPriority w:val="99"/>
    <w:rsid w:val="00C10D19"/>
    <w:rPr>
      <w:b/>
      <w:color w:val="00B3CC"/>
      <w:sz w:val="48"/>
    </w:rPr>
  </w:style>
  <w:style w:type="character" w:customStyle="1" w:styleId="A6">
    <w:name w:val="A6"/>
    <w:uiPriority w:val="99"/>
    <w:rsid w:val="00C10D19"/>
    <w:rPr>
      <w:b/>
      <w:color w:val="000000"/>
      <w:sz w:val="30"/>
    </w:rPr>
  </w:style>
  <w:style w:type="paragraph" w:customStyle="1" w:styleId="Pa3">
    <w:name w:val="Pa3"/>
    <w:basedOn w:val="Normlny"/>
    <w:next w:val="Normlny"/>
    <w:uiPriority w:val="99"/>
    <w:rsid w:val="00C10D19"/>
    <w:pPr>
      <w:autoSpaceDE w:val="0"/>
      <w:autoSpaceDN w:val="0"/>
      <w:adjustRightInd w:val="0"/>
      <w:spacing w:after="0" w:line="241" w:lineRule="atLeast"/>
    </w:pPr>
    <w:rPr>
      <w:rFonts w:ascii="Lato" w:eastAsia="Times New Roman" w:hAnsi="Lato" w:cs="Mangal"/>
      <w:sz w:val="24"/>
      <w:szCs w:val="24"/>
      <w:lang w:val="sk-SK"/>
    </w:rPr>
  </w:style>
  <w:style w:type="character" w:customStyle="1" w:styleId="A15">
    <w:name w:val="A15"/>
    <w:uiPriority w:val="99"/>
    <w:rsid w:val="00C10D19"/>
    <w:rPr>
      <w:b/>
      <w:color w:val="000000"/>
      <w:sz w:val="28"/>
    </w:rPr>
  </w:style>
  <w:style w:type="character" w:customStyle="1" w:styleId="A10">
    <w:name w:val="A10"/>
    <w:uiPriority w:val="99"/>
    <w:rsid w:val="00C10D19"/>
    <w:rPr>
      <w:color w:val="565555"/>
      <w:sz w:val="22"/>
    </w:rPr>
  </w:style>
  <w:style w:type="paragraph" w:customStyle="1" w:styleId="Pa1">
    <w:name w:val="Pa1"/>
    <w:basedOn w:val="Normlny"/>
    <w:next w:val="Normlny"/>
    <w:uiPriority w:val="99"/>
    <w:rsid w:val="00C10D19"/>
    <w:pPr>
      <w:autoSpaceDE w:val="0"/>
      <w:autoSpaceDN w:val="0"/>
      <w:adjustRightInd w:val="0"/>
      <w:spacing w:after="0" w:line="241" w:lineRule="atLeast"/>
    </w:pPr>
    <w:rPr>
      <w:rFonts w:ascii="Lato" w:eastAsia="Times New Roman" w:hAnsi="Lato" w:cs="Mangal"/>
      <w:sz w:val="24"/>
      <w:szCs w:val="24"/>
      <w:lang w:val="sk-SK"/>
    </w:rPr>
  </w:style>
  <w:style w:type="character" w:customStyle="1" w:styleId="A8">
    <w:name w:val="A8"/>
    <w:uiPriority w:val="99"/>
    <w:rsid w:val="00C10D19"/>
    <w:rPr>
      <w:b/>
      <w:color w:val="3658A5"/>
      <w:sz w:val="47"/>
    </w:rPr>
  </w:style>
  <w:style w:type="character" w:customStyle="1" w:styleId="A24">
    <w:name w:val="A24"/>
    <w:uiPriority w:val="99"/>
    <w:rsid w:val="00C10D19"/>
    <w:rPr>
      <w:color w:val="000000"/>
      <w:sz w:val="16"/>
    </w:rPr>
  </w:style>
  <w:style w:type="character" w:customStyle="1" w:styleId="A9">
    <w:name w:val="A9"/>
    <w:uiPriority w:val="99"/>
    <w:rsid w:val="00C10D19"/>
    <w:rPr>
      <w:color w:val="00B3CC"/>
      <w:sz w:val="19"/>
    </w:rPr>
  </w:style>
  <w:style w:type="character" w:customStyle="1" w:styleId="A11">
    <w:name w:val="A11"/>
    <w:uiPriority w:val="99"/>
    <w:rsid w:val="00C10D19"/>
    <w:rPr>
      <w:color w:val="565555"/>
      <w:sz w:val="18"/>
    </w:rPr>
  </w:style>
  <w:style w:type="paragraph" w:customStyle="1" w:styleId="Default">
    <w:name w:val="Default"/>
    <w:rsid w:val="00C10D19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val="sk-SK"/>
    </w:rPr>
  </w:style>
  <w:style w:type="character" w:customStyle="1" w:styleId="A22">
    <w:name w:val="A22"/>
    <w:uiPriority w:val="99"/>
    <w:rsid w:val="00BF0D08"/>
    <w:rPr>
      <w:color w:val="000000"/>
      <w:sz w:val="22"/>
    </w:rPr>
  </w:style>
  <w:style w:type="character" w:customStyle="1" w:styleId="A23">
    <w:name w:val="A23"/>
    <w:uiPriority w:val="99"/>
    <w:rsid w:val="00BF0D08"/>
    <w:rPr>
      <w:b/>
      <w:color w:val="3658A5"/>
      <w:sz w:val="30"/>
    </w:rPr>
  </w:style>
  <w:style w:type="character" w:customStyle="1" w:styleId="A25">
    <w:name w:val="A25"/>
    <w:uiPriority w:val="99"/>
    <w:rsid w:val="00BF0D08"/>
    <w:rPr>
      <w:b/>
      <w:color w:val="092253"/>
      <w:sz w:val="26"/>
    </w:rPr>
  </w:style>
  <w:style w:type="character" w:customStyle="1" w:styleId="A5">
    <w:name w:val="A5"/>
    <w:uiPriority w:val="99"/>
    <w:rsid w:val="00BF0D08"/>
    <w:rPr>
      <w:b/>
      <w:color w:val="092253"/>
      <w:sz w:val="20"/>
    </w:rPr>
  </w:style>
  <w:style w:type="character" w:customStyle="1" w:styleId="A27">
    <w:name w:val="A27"/>
    <w:uiPriority w:val="99"/>
    <w:rsid w:val="00BF0D08"/>
    <w:rPr>
      <w:b/>
      <w:color w:val="000000"/>
      <w:sz w:val="22"/>
    </w:rPr>
  </w:style>
  <w:style w:type="character" w:customStyle="1" w:styleId="A13">
    <w:name w:val="A13"/>
    <w:uiPriority w:val="99"/>
    <w:rsid w:val="00BF0D08"/>
    <w:rPr>
      <w:b/>
      <w:color w:val="00B3CC"/>
      <w:sz w:val="1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ton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roupholding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481E-1D50-4FFE-8F0E-8FCE536E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Droppova - 1010Comms</dc:creator>
  <cp:keywords/>
  <dc:description/>
  <cp:lastModifiedBy>Katarina</cp:lastModifiedBy>
  <cp:revision>7</cp:revision>
  <cp:lastPrinted>2022-04-13T13:00:00Z</cp:lastPrinted>
  <dcterms:created xsi:type="dcterms:W3CDTF">2023-11-28T06:11:00Z</dcterms:created>
  <dcterms:modified xsi:type="dcterms:W3CDTF">2023-12-15T09:15:00Z</dcterms:modified>
</cp:coreProperties>
</file>