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91239" w14:textId="77777777" w:rsidR="000F21C9" w:rsidRPr="00CC72A0" w:rsidRDefault="000F21C9" w:rsidP="005C1FAF">
      <w:pPr>
        <w:pStyle w:val="Bezriadkovania"/>
        <w:jc w:val="both"/>
        <w:rPr>
          <w:rFonts w:cstheme="minorHAnsi"/>
          <w:color w:val="000000"/>
          <w:lang w:val="sk-SK"/>
        </w:rPr>
      </w:pPr>
      <w:r w:rsidRPr="00CC72A0">
        <w:rPr>
          <w:rFonts w:cstheme="minorHAnsi"/>
          <w:color w:val="000000"/>
          <w:lang w:val="sk-SK"/>
        </w:rPr>
        <w:t>TLAČOVÁ SPRÁVA</w:t>
      </w:r>
    </w:p>
    <w:p w14:paraId="69D7C348" w14:textId="498789F2" w:rsidR="00FB07E7" w:rsidRPr="00CC72A0" w:rsidRDefault="00FB07E7" w:rsidP="005C1FAF">
      <w:pPr>
        <w:pStyle w:val="Bezriadkovania"/>
        <w:jc w:val="both"/>
        <w:rPr>
          <w:rFonts w:ascii="Calibri" w:hAnsi="Calibri" w:cs="Calibri"/>
          <w:color w:val="000000"/>
          <w:lang w:val="sk-SK"/>
        </w:rPr>
      </w:pPr>
      <w:r w:rsidRPr="00CC72A0">
        <w:rPr>
          <w:rFonts w:ascii="Calibri" w:hAnsi="Calibri" w:cs="Calibri"/>
          <w:color w:val="000000"/>
          <w:lang w:val="sk-SK"/>
        </w:rPr>
        <w:t xml:space="preserve">Bratislava </w:t>
      </w:r>
      <w:r w:rsidR="003977AA">
        <w:rPr>
          <w:rFonts w:ascii="Calibri" w:hAnsi="Calibri" w:cs="Calibri"/>
          <w:color w:val="000000"/>
          <w:lang w:val="sk-SK"/>
        </w:rPr>
        <w:t>1</w:t>
      </w:r>
      <w:r w:rsidR="000D6B9E">
        <w:rPr>
          <w:rFonts w:ascii="Calibri" w:hAnsi="Calibri" w:cs="Calibri"/>
          <w:color w:val="000000"/>
          <w:lang w:val="sk-SK"/>
        </w:rPr>
        <w:t>9</w:t>
      </w:r>
      <w:r w:rsidR="00F570D3">
        <w:rPr>
          <w:rFonts w:ascii="Calibri" w:hAnsi="Calibri" w:cs="Calibri"/>
          <w:color w:val="000000"/>
          <w:lang w:val="sk-SK"/>
        </w:rPr>
        <w:t xml:space="preserve">. </w:t>
      </w:r>
      <w:r w:rsidR="003978C9">
        <w:rPr>
          <w:rFonts w:ascii="Calibri" w:hAnsi="Calibri" w:cs="Calibri"/>
          <w:color w:val="000000"/>
          <w:lang w:val="sk-SK"/>
        </w:rPr>
        <w:t>novem</w:t>
      </w:r>
      <w:r w:rsidR="00823170">
        <w:rPr>
          <w:rFonts w:ascii="Calibri" w:hAnsi="Calibri" w:cs="Calibri"/>
          <w:color w:val="000000"/>
          <w:lang w:val="sk-SK"/>
        </w:rPr>
        <w:t>bra</w:t>
      </w:r>
      <w:r w:rsidR="00626951">
        <w:rPr>
          <w:rFonts w:ascii="Calibri" w:hAnsi="Calibri" w:cs="Calibri"/>
          <w:color w:val="000000"/>
          <w:lang w:val="sk-SK"/>
        </w:rPr>
        <w:t xml:space="preserve"> </w:t>
      </w:r>
      <w:r w:rsidR="0053451B">
        <w:rPr>
          <w:rFonts w:ascii="Calibri" w:hAnsi="Calibri" w:cs="Calibri"/>
          <w:color w:val="000000"/>
          <w:lang w:val="sk-SK"/>
        </w:rPr>
        <w:t>2024</w:t>
      </w:r>
    </w:p>
    <w:p w14:paraId="4AAD54C5" w14:textId="77777777" w:rsidR="004C72F2" w:rsidRDefault="004C72F2" w:rsidP="005B4EDA">
      <w:pPr>
        <w:spacing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1362FF8E" w14:textId="0C587D57" w:rsidR="002F58C1" w:rsidRPr="00234B1D" w:rsidRDefault="002F58C1" w:rsidP="003977AA">
      <w:pPr>
        <w:jc w:val="both"/>
        <w:rPr>
          <w:b/>
          <w:bCs/>
          <w:sz w:val="28"/>
          <w:szCs w:val="28"/>
        </w:rPr>
      </w:pPr>
      <w:r w:rsidRPr="00234B1D">
        <w:rPr>
          <w:b/>
          <w:bCs/>
          <w:sz w:val="28"/>
          <w:szCs w:val="28"/>
        </w:rPr>
        <w:t>Zamestnanci, ktorí minulý rok ne</w:t>
      </w:r>
      <w:r>
        <w:rPr>
          <w:b/>
          <w:bCs/>
          <w:sz w:val="28"/>
          <w:szCs w:val="28"/>
        </w:rPr>
        <w:t>dosta</w:t>
      </w:r>
      <w:r w:rsidRPr="00234B1D">
        <w:rPr>
          <w:b/>
          <w:bCs/>
          <w:sz w:val="28"/>
          <w:szCs w:val="28"/>
        </w:rPr>
        <w:t xml:space="preserve">li vianočné odmeny, </w:t>
      </w:r>
      <w:r>
        <w:rPr>
          <w:b/>
          <w:bCs/>
          <w:sz w:val="28"/>
          <w:szCs w:val="28"/>
        </w:rPr>
        <w:t xml:space="preserve">sa </w:t>
      </w:r>
      <w:r w:rsidRPr="00234B1D">
        <w:rPr>
          <w:b/>
          <w:bCs/>
          <w:sz w:val="28"/>
          <w:szCs w:val="28"/>
        </w:rPr>
        <w:t>ich zrejme nedo</w:t>
      </w:r>
      <w:r>
        <w:rPr>
          <w:b/>
          <w:bCs/>
          <w:sz w:val="28"/>
          <w:szCs w:val="28"/>
        </w:rPr>
        <w:t>čkajú</w:t>
      </w:r>
      <w:r w:rsidRPr="00234B1D">
        <w:rPr>
          <w:b/>
          <w:bCs/>
          <w:sz w:val="28"/>
          <w:szCs w:val="28"/>
        </w:rPr>
        <w:t xml:space="preserve"> ani </w:t>
      </w:r>
      <w:r w:rsidR="003548B6">
        <w:rPr>
          <w:b/>
          <w:bCs/>
          <w:sz w:val="28"/>
          <w:szCs w:val="28"/>
        </w:rPr>
        <w:t>teraz</w:t>
      </w:r>
      <w:r w:rsidRPr="00234B1D">
        <w:rPr>
          <w:b/>
          <w:bCs/>
          <w:sz w:val="28"/>
          <w:szCs w:val="28"/>
        </w:rPr>
        <w:t xml:space="preserve">. Väčšina firiem totiž v oblasti benefitov </w:t>
      </w:r>
      <w:r>
        <w:rPr>
          <w:b/>
          <w:bCs/>
          <w:sz w:val="28"/>
          <w:szCs w:val="28"/>
        </w:rPr>
        <w:t xml:space="preserve">veľké </w:t>
      </w:r>
      <w:r w:rsidRPr="00234B1D">
        <w:rPr>
          <w:b/>
          <w:bCs/>
          <w:sz w:val="28"/>
          <w:szCs w:val="28"/>
        </w:rPr>
        <w:t>zmeny neplánuje</w:t>
      </w:r>
    </w:p>
    <w:p w14:paraId="6E6648B9" w14:textId="58CAC791" w:rsidR="00DE2905" w:rsidRDefault="002F58C1" w:rsidP="003977AA">
      <w:pPr>
        <w:jc w:val="both"/>
        <w:rPr>
          <w:b/>
          <w:bCs/>
        </w:rPr>
      </w:pPr>
      <w:r>
        <w:rPr>
          <w:b/>
          <w:bCs/>
        </w:rPr>
        <w:t>Koncoročné f</w:t>
      </w:r>
      <w:r w:rsidRPr="00234B1D">
        <w:rPr>
          <w:b/>
          <w:bCs/>
        </w:rPr>
        <w:t>inančné benefity, ako je 13. či 14. mzda alebo vianočné odmeny, patria už tradične medzi zamestnancami k</w:t>
      </w:r>
      <w:r w:rsidR="003548B6">
        <w:rPr>
          <w:b/>
          <w:bCs/>
        </w:rPr>
        <w:t xml:space="preserve"> </w:t>
      </w:r>
      <w:r w:rsidRPr="00234B1D">
        <w:rPr>
          <w:b/>
          <w:bCs/>
        </w:rPr>
        <w:t xml:space="preserve">najžiadanejším. Často dokonca </w:t>
      </w:r>
      <w:r w:rsidR="003548B6">
        <w:rPr>
          <w:b/>
          <w:bCs/>
        </w:rPr>
        <w:t>rozhodujú o tom</w:t>
      </w:r>
      <w:r w:rsidRPr="00234B1D">
        <w:rPr>
          <w:b/>
          <w:bCs/>
        </w:rPr>
        <w:t xml:space="preserve">, či kandidát </w:t>
      </w:r>
      <w:r w:rsidR="003548B6">
        <w:rPr>
          <w:b/>
          <w:bCs/>
        </w:rPr>
        <w:t xml:space="preserve">prijme </w:t>
      </w:r>
      <w:r w:rsidRPr="00234B1D">
        <w:rPr>
          <w:b/>
          <w:bCs/>
        </w:rPr>
        <w:t>pracovnú po</w:t>
      </w:r>
      <w:r w:rsidR="003548B6">
        <w:rPr>
          <w:b/>
          <w:bCs/>
        </w:rPr>
        <w:t xml:space="preserve">nuku alebo či </w:t>
      </w:r>
      <w:r w:rsidRPr="00234B1D">
        <w:rPr>
          <w:b/>
          <w:bCs/>
        </w:rPr>
        <w:t>zamestnanec zo</w:t>
      </w:r>
      <w:r w:rsidR="003548B6">
        <w:rPr>
          <w:b/>
          <w:bCs/>
        </w:rPr>
        <w:t xml:space="preserve">stane na súčasnej pozícii. Koľko </w:t>
      </w:r>
      <w:r w:rsidRPr="00234B1D">
        <w:rPr>
          <w:b/>
          <w:bCs/>
        </w:rPr>
        <w:t xml:space="preserve">zamestnancov sa môže tento rok tešiť na koncoročné odmeny? </w:t>
      </w:r>
      <w:r w:rsidR="00DE2905" w:rsidRPr="00DE2905">
        <w:rPr>
          <w:b/>
          <w:bCs/>
        </w:rPr>
        <w:t>Odpovede na tieto a ďalšie otázky týkajúce sa benefitov prin</w:t>
      </w:r>
      <w:r w:rsidR="00DE2905">
        <w:rPr>
          <w:b/>
          <w:bCs/>
        </w:rPr>
        <w:t xml:space="preserve">iesol </w:t>
      </w:r>
      <w:r w:rsidR="00DE2905" w:rsidRPr="00DE2905">
        <w:rPr>
          <w:b/>
          <w:bCs/>
        </w:rPr>
        <w:t>prieskum personálnej agentúry Grafton.</w:t>
      </w:r>
    </w:p>
    <w:p w14:paraId="1255F599" w14:textId="3552365C" w:rsidR="002F58C1" w:rsidRDefault="002F58C1" w:rsidP="003977AA">
      <w:pPr>
        <w:jc w:val="both"/>
      </w:pPr>
      <w:r>
        <w:t xml:space="preserve">Spolu s rastom cien </w:t>
      </w:r>
      <w:r w:rsidRPr="00CB7105">
        <w:t>tovar</w:t>
      </w:r>
      <w:r>
        <w:t>ov</w:t>
      </w:r>
      <w:r w:rsidRPr="00CB7105">
        <w:t xml:space="preserve"> a</w:t>
      </w:r>
      <w:r>
        <w:t> </w:t>
      </w:r>
      <w:r w:rsidRPr="00CB7105">
        <w:t>energi</w:t>
      </w:r>
      <w:r>
        <w:t xml:space="preserve">í rástol aj tento rok </w:t>
      </w:r>
      <w:r w:rsidRPr="00CB7105">
        <w:t>tlak</w:t>
      </w:r>
      <w:r>
        <w:t xml:space="preserve"> </w:t>
      </w:r>
      <w:r w:rsidRPr="00CB7105">
        <w:t xml:space="preserve">na </w:t>
      </w:r>
      <w:r>
        <w:t>zamestnávateľov v oblasti mzdového ohodnotenia. Okrem zvyšovania miezd majú pritom firmy v rukách aj ďalší účinný</w:t>
      </w:r>
      <w:r w:rsidR="003548B6">
        <w:t>,</w:t>
      </w:r>
      <w:r>
        <w:t xml:space="preserve"> no nie vždy adekvátne využívaný nástroj na prilákanie, motiváciu aj udržanie si zamestnancov – poskytovanie finančných benefitov</w:t>
      </w:r>
      <w:r w:rsidRPr="00CB7105">
        <w:t>.</w:t>
      </w:r>
    </w:p>
    <w:p w14:paraId="06BBB2C5" w14:textId="4A4B94D4" w:rsidR="002F58C1" w:rsidRPr="00DD58C2" w:rsidRDefault="002F58C1" w:rsidP="003977AA">
      <w:pPr>
        <w:jc w:val="both"/>
        <w:rPr>
          <w:b/>
          <w:bCs/>
        </w:rPr>
      </w:pPr>
      <w:r w:rsidRPr="00DD58C2">
        <w:rPr>
          <w:b/>
          <w:bCs/>
        </w:rPr>
        <w:t xml:space="preserve">Finančné benefity sú </w:t>
      </w:r>
      <w:r w:rsidR="007C2A45">
        <w:rPr>
          <w:b/>
          <w:bCs/>
        </w:rPr>
        <w:t>naj</w:t>
      </w:r>
      <w:r w:rsidR="005D6233">
        <w:rPr>
          <w:b/>
          <w:bCs/>
        </w:rPr>
        <w:t>žiadan</w:t>
      </w:r>
      <w:r w:rsidR="007C2A45">
        <w:rPr>
          <w:b/>
          <w:bCs/>
        </w:rPr>
        <w:t>ejšie</w:t>
      </w:r>
      <w:r w:rsidRPr="00DD58C2">
        <w:rPr>
          <w:b/>
          <w:bCs/>
        </w:rPr>
        <w:t xml:space="preserve">, a to naprieč </w:t>
      </w:r>
      <w:r>
        <w:rPr>
          <w:b/>
          <w:bCs/>
        </w:rPr>
        <w:t>sekto</w:t>
      </w:r>
      <w:r w:rsidRPr="00DD58C2">
        <w:rPr>
          <w:b/>
          <w:bCs/>
        </w:rPr>
        <w:t xml:space="preserve">rmi </w:t>
      </w:r>
      <w:r w:rsidR="003548B6">
        <w:rPr>
          <w:b/>
          <w:bCs/>
        </w:rPr>
        <w:t>aj</w:t>
      </w:r>
      <w:r w:rsidRPr="00DD58C2">
        <w:rPr>
          <w:b/>
          <w:bCs/>
        </w:rPr>
        <w:t xml:space="preserve"> generáciami</w:t>
      </w:r>
    </w:p>
    <w:p w14:paraId="69C5EE47" w14:textId="7E94B6FA" w:rsidR="002F58C1" w:rsidRDefault="003548B6" w:rsidP="003548B6">
      <w:pPr>
        <w:jc w:val="both"/>
      </w:pPr>
      <w:r>
        <w:t>Personálna a</w:t>
      </w:r>
      <w:r w:rsidR="002F58C1">
        <w:t>gentúra Grafton sleduje v rámci svojich prieskumov ponuku rôznych benefitov u</w:t>
      </w:r>
      <w:r w:rsidR="002F58C1" w:rsidRPr="00EA4F08">
        <w:t xml:space="preserve">ž </w:t>
      </w:r>
      <w:r w:rsidR="002F58C1">
        <w:t>takmer</w:t>
      </w:r>
      <w:r w:rsidR="002F58C1" w:rsidRPr="00EA4F08">
        <w:t xml:space="preserve"> 10 rokov</w:t>
      </w:r>
      <w:r w:rsidR="002F58C1">
        <w:t xml:space="preserve"> a za celý tento čas sa </w:t>
      </w:r>
      <w:r w:rsidR="002F58C1" w:rsidRPr="00EA4F08">
        <w:t>poradie</w:t>
      </w:r>
      <w:r w:rsidR="002F58C1">
        <w:t xml:space="preserve"> </w:t>
      </w:r>
      <w:r w:rsidR="002F58C1" w:rsidRPr="00EA4F08">
        <w:t>preferencií zamestnancov prakticky nezmenilo</w:t>
      </w:r>
      <w:r w:rsidR="002F58C1">
        <w:t xml:space="preserve"> – n</w:t>
      </w:r>
      <w:r w:rsidR="002F58C1" w:rsidRPr="00EA4F08">
        <w:t>a prvom mieste sú stále finančné benefity, nasleduje voľno a</w:t>
      </w:r>
      <w:r w:rsidR="002F58C1">
        <w:t> </w:t>
      </w:r>
      <w:r w:rsidR="002F58C1" w:rsidRPr="00EA4F08">
        <w:t>dovolenka</w:t>
      </w:r>
      <w:r w:rsidR="002F58C1">
        <w:t xml:space="preserve"> </w:t>
      </w:r>
      <w:r w:rsidR="002F58C1" w:rsidRPr="00EA4F08">
        <w:t xml:space="preserve">navyše. </w:t>
      </w:r>
      <w:r w:rsidR="002F58C1">
        <w:t>Preferencie v</w:t>
      </w:r>
      <w:r w:rsidR="002F58C1" w:rsidRPr="0077483A">
        <w:t xml:space="preserve"> oblasti benefitov</w:t>
      </w:r>
      <w:r w:rsidR="002F58C1">
        <w:t xml:space="preserve"> sú pritom prakticky rovnaké naprieč sektormi aj generáciami, hoci má každá skupina či veková kategória pracujúcich iné pracovné </w:t>
      </w:r>
      <w:r w:rsidR="002F58C1" w:rsidRPr="0077483A">
        <w:t>návyky a</w:t>
      </w:r>
      <w:r w:rsidR="002F58C1">
        <w:t> </w:t>
      </w:r>
      <w:r w:rsidR="002F58C1" w:rsidRPr="0077483A">
        <w:t>motiváciu</w:t>
      </w:r>
      <w:r w:rsidR="002F58C1">
        <w:t xml:space="preserve">. </w:t>
      </w:r>
      <w:r w:rsidR="002F58C1" w:rsidRPr="009E4D3C">
        <w:rPr>
          <w:i/>
          <w:iCs/>
        </w:rPr>
        <w:t xml:space="preserve">„V našom tohtoročnom prieskume zhodne uviedlo ako najžiadanejší benefit finančné bonusy a iné odmeny až 98 % </w:t>
      </w:r>
      <w:r>
        <w:rPr>
          <w:i/>
          <w:iCs/>
        </w:rPr>
        <w:t>zamestnancov v kanceláriách a 99 % pracovníkov vo výrobe</w:t>
      </w:r>
      <w:r w:rsidR="002F58C1" w:rsidRPr="009E4D3C">
        <w:rPr>
          <w:i/>
          <w:iCs/>
        </w:rPr>
        <w:t>,“</w:t>
      </w:r>
      <w:r w:rsidR="002F58C1">
        <w:t xml:space="preserve"> konkretizuje </w:t>
      </w:r>
      <w:r w:rsidR="002F58C1" w:rsidRPr="00390BC9">
        <w:t>Martin Mal</w:t>
      </w:r>
      <w:r w:rsidR="002F58C1">
        <w:t>o</w:t>
      </w:r>
      <w:r w:rsidR="002F58C1" w:rsidRPr="00390BC9">
        <w:t>, riaditeľ Grafton Recruitment a</w:t>
      </w:r>
      <w:r w:rsidR="002F58C1">
        <w:t> </w:t>
      </w:r>
      <w:r w:rsidR="002F58C1" w:rsidRPr="00390BC9">
        <w:t>GiGroup</w:t>
      </w:r>
      <w:r w:rsidR="002F58C1">
        <w:t>.</w:t>
      </w:r>
    </w:p>
    <w:p w14:paraId="69531B44" w14:textId="2A3C8AE9" w:rsidR="002F58C1" w:rsidRDefault="002F58C1" w:rsidP="003977AA">
      <w:pPr>
        <w:jc w:val="both"/>
      </w:pPr>
      <w:r w:rsidRPr="00AC55F6">
        <w:t xml:space="preserve">Medzi </w:t>
      </w:r>
      <w:r>
        <w:t>naj</w:t>
      </w:r>
      <w:r w:rsidRPr="00AC55F6">
        <w:t>žiadan</w:t>
      </w:r>
      <w:r>
        <w:t xml:space="preserve">ejšie </w:t>
      </w:r>
      <w:r w:rsidRPr="00AC55F6">
        <w:t>benefity patr</w:t>
      </w:r>
      <w:r>
        <w:t>ia</w:t>
      </w:r>
      <w:r w:rsidRPr="00AC55F6">
        <w:t xml:space="preserve"> </w:t>
      </w:r>
      <w:r>
        <w:t>okrem</w:t>
      </w:r>
      <w:r w:rsidRPr="00AC55F6">
        <w:t xml:space="preserve"> </w:t>
      </w:r>
      <w:r>
        <w:t xml:space="preserve">bonusov a prémií aj </w:t>
      </w:r>
      <w:r w:rsidRPr="00AC55F6">
        <w:t>vianočné</w:t>
      </w:r>
      <w:r>
        <w:t xml:space="preserve"> odmeny a</w:t>
      </w:r>
      <w:r w:rsidRPr="00AC55F6">
        <w:t xml:space="preserve"> 13. či 14. mzda</w:t>
      </w:r>
      <w:r>
        <w:t xml:space="preserve">. </w:t>
      </w:r>
      <w:r w:rsidRPr="00AC55F6">
        <w:t>S prichádzajúcim trendom vytvárania rovnováhy medzi osobným a pracovným životom má</w:t>
      </w:r>
      <w:r>
        <w:t xml:space="preserve"> </w:t>
      </w:r>
      <w:r w:rsidRPr="00AC55F6">
        <w:t xml:space="preserve">čoraz viac pracujúcich záujem aj o dovolenku dlhšiu než 5 týždňov </w:t>
      </w:r>
      <w:r>
        <w:t>a</w:t>
      </w:r>
      <w:r w:rsidRPr="00AC55F6">
        <w:t xml:space="preserve"> o nadštandardnú lekársku starostlivosť.</w:t>
      </w:r>
      <w:r>
        <w:t xml:space="preserve"> Vo</w:t>
      </w:r>
      <w:r w:rsidRPr="00AC55F6">
        <w:t xml:space="preserve"> všetkých sledovaných </w:t>
      </w:r>
      <w:r>
        <w:t>oblastia</w:t>
      </w:r>
      <w:r w:rsidRPr="00AC55F6">
        <w:t xml:space="preserve">ch </w:t>
      </w:r>
      <w:r>
        <w:t xml:space="preserve">pracovného trhu však </w:t>
      </w:r>
      <w:r w:rsidRPr="00AC55F6">
        <w:t>aj naďalej pretrváva veľký rozdiel medzi tým, aké benefity by zamestnanci uvítali,</w:t>
      </w:r>
      <w:r>
        <w:t xml:space="preserve"> </w:t>
      </w:r>
      <w:r w:rsidRPr="00AC55F6">
        <w:t>a tým, čo im zamestnávate</w:t>
      </w:r>
      <w:r>
        <w:t>lia</w:t>
      </w:r>
      <w:r w:rsidRPr="00AC55F6">
        <w:t xml:space="preserve"> poskytuj</w:t>
      </w:r>
      <w:r>
        <w:t>ú</w:t>
      </w:r>
      <w:r w:rsidRPr="00AC55F6">
        <w:t xml:space="preserve">. </w:t>
      </w:r>
      <w:r>
        <w:t>T</w:t>
      </w:r>
      <w:r w:rsidRPr="00AC55F6">
        <w:t xml:space="preserve">ento rozdiel </w:t>
      </w:r>
      <w:r>
        <w:t>je výrazný aj</w:t>
      </w:r>
      <w:r w:rsidRPr="00AC55F6">
        <w:t xml:space="preserve"> v oblasti finančných benefitov. </w:t>
      </w:r>
      <w:r>
        <w:t>„</w:t>
      </w:r>
      <w:r w:rsidRPr="00D31DD3">
        <w:rPr>
          <w:i/>
          <w:iCs/>
        </w:rPr>
        <w:t>Napríklad vianočné</w:t>
      </w:r>
      <w:r w:rsidRPr="00817B04">
        <w:rPr>
          <w:i/>
          <w:iCs/>
        </w:rPr>
        <w:t xml:space="preserve"> odmeny a 13. alebo 14. mzda sa v našom tohtoročnom prieskume umiestnili v prvej desiatke benefitov s najväčším rozdielom dopytu a ponuky u všetkých kategórií pracujúcich,“ </w:t>
      </w:r>
      <w:r>
        <w:t>dopĺňa M. Malo.</w:t>
      </w:r>
    </w:p>
    <w:p w14:paraId="3449FB1C" w14:textId="6EBC2347" w:rsidR="002F58C1" w:rsidRPr="003548B6" w:rsidRDefault="002F58C1" w:rsidP="003977AA">
      <w:pPr>
        <w:jc w:val="both"/>
        <w:rPr>
          <w:b/>
          <w:bCs/>
          <w:sz w:val="24"/>
          <w:szCs w:val="24"/>
        </w:rPr>
      </w:pPr>
      <w:r w:rsidRPr="003548B6">
        <w:rPr>
          <w:b/>
          <w:bCs/>
          <w:sz w:val="24"/>
          <w:szCs w:val="24"/>
        </w:rPr>
        <w:t xml:space="preserve">Najžiadanejšie benefity – </w:t>
      </w:r>
      <w:r w:rsidR="00063E3F" w:rsidRPr="003548B6">
        <w:rPr>
          <w:b/>
          <w:bCs/>
          <w:sz w:val="24"/>
          <w:szCs w:val="24"/>
        </w:rPr>
        <w:t>preferenc</w:t>
      </w:r>
      <w:r w:rsidRPr="003548B6">
        <w:rPr>
          <w:b/>
          <w:bCs/>
          <w:sz w:val="24"/>
          <w:szCs w:val="24"/>
        </w:rPr>
        <w:t>ie zamestnancov vs. realita u zamestnávateľov</w:t>
      </w: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62"/>
        <w:gridCol w:w="1701"/>
        <w:gridCol w:w="1370"/>
        <w:gridCol w:w="1749"/>
        <w:gridCol w:w="1322"/>
        <w:gridCol w:w="1655"/>
        <w:gridCol w:w="1417"/>
      </w:tblGrid>
      <w:tr w:rsidR="002F58C1" w:rsidRPr="003B6AF3" w14:paraId="5BEB84C6" w14:textId="77777777" w:rsidTr="00025867">
        <w:tc>
          <w:tcPr>
            <w:tcW w:w="562" w:type="dxa"/>
          </w:tcPr>
          <w:p w14:paraId="1533413C" w14:textId="77777777" w:rsidR="002F58C1" w:rsidRPr="003B6AF3" w:rsidRDefault="002F58C1" w:rsidP="003977AA">
            <w:pPr>
              <w:jc w:val="both"/>
              <w:rPr>
                <w:b/>
                <w:bCs/>
              </w:rPr>
            </w:pPr>
          </w:p>
        </w:tc>
        <w:tc>
          <w:tcPr>
            <w:tcW w:w="3071" w:type="dxa"/>
            <w:gridSpan w:val="2"/>
          </w:tcPr>
          <w:p w14:paraId="6A5A4906" w14:textId="2EA3C0A9" w:rsidR="002F58C1" w:rsidRPr="003B6AF3" w:rsidRDefault="003548B6" w:rsidP="00354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Pracovníci v kanceláriách</w:t>
            </w:r>
          </w:p>
        </w:tc>
        <w:tc>
          <w:tcPr>
            <w:tcW w:w="3071" w:type="dxa"/>
            <w:gridSpan w:val="2"/>
          </w:tcPr>
          <w:p w14:paraId="24B06E28" w14:textId="6464B68F" w:rsidR="002F58C1" w:rsidRPr="003B6AF3" w:rsidRDefault="003548B6" w:rsidP="00354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Kvalifikovaní pracovníci vo výrobe</w:t>
            </w:r>
          </w:p>
        </w:tc>
        <w:tc>
          <w:tcPr>
            <w:tcW w:w="3072" w:type="dxa"/>
            <w:gridSpan w:val="2"/>
          </w:tcPr>
          <w:p w14:paraId="1F7EBB7E" w14:textId="7CA42311" w:rsidR="002F58C1" w:rsidRPr="003B6AF3" w:rsidRDefault="003548B6" w:rsidP="00354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Nekvalifikovaní pracovníci vo výrobe</w:t>
            </w:r>
          </w:p>
        </w:tc>
      </w:tr>
      <w:tr w:rsidR="002F58C1" w:rsidRPr="003B6AF3" w14:paraId="59893942" w14:textId="77777777" w:rsidTr="00025867">
        <w:tc>
          <w:tcPr>
            <w:tcW w:w="562" w:type="dxa"/>
          </w:tcPr>
          <w:p w14:paraId="75517C03" w14:textId="77777777" w:rsidR="002F58C1" w:rsidRPr="003B6AF3" w:rsidRDefault="002F58C1" w:rsidP="003977AA">
            <w:pPr>
              <w:jc w:val="both"/>
              <w:rPr>
                <w:b/>
                <w:bCs/>
              </w:rPr>
            </w:pPr>
            <w:r w:rsidRPr="003B6AF3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520F885C" w14:textId="77777777" w:rsidR="002F58C1" w:rsidRPr="003B6AF3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3B6AF3">
              <w:rPr>
                <w:sz w:val="18"/>
                <w:szCs w:val="18"/>
              </w:rPr>
              <w:t>Bonusy, prémie</w:t>
            </w:r>
          </w:p>
        </w:tc>
        <w:tc>
          <w:tcPr>
            <w:tcW w:w="1370" w:type="dxa"/>
          </w:tcPr>
          <w:p w14:paraId="38EF0245" w14:textId="77777777" w:rsidR="002F58C1" w:rsidRPr="003B6AF3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3B6AF3">
              <w:rPr>
                <w:sz w:val="18"/>
                <w:szCs w:val="18"/>
              </w:rPr>
              <w:t xml:space="preserve">98 % </w:t>
            </w:r>
            <w:r>
              <w:rPr>
                <w:sz w:val="18"/>
                <w:szCs w:val="18"/>
              </w:rPr>
              <w:t>|</w:t>
            </w:r>
            <w:r w:rsidRPr="003B6AF3">
              <w:rPr>
                <w:sz w:val="18"/>
                <w:szCs w:val="18"/>
              </w:rPr>
              <w:t xml:space="preserve"> 47 %</w:t>
            </w:r>
          </w:p>
        </w:tc>
        <w:tc>
          <w:tcPr>
            <w:tcW w:w="1749" w:type="dxa"/>
          </w:tcPr>
          <w:p w14:paraId="4436EA88" w14:textId="77777777" w:rsidR="002F58C1" w:rsidRPr="003B6AF3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3B6AF3">
              <w:rPr>
                <w:sz w:val="18"/>
                <w:szCs w:val="18"/>
              </w:rPr>
              <w:t>Bonusy, prémie</w:t>
            </w:r>
          </w:p>
        </w:tc>
        <w:tc>
          <w:tcPr>
            <w:tcW w:w="1322" w:type="dxa"/>
          </w:tcPr>
          <w:p w14:paraId="09D0389A" w14:textId="77777777" w:rsidR="002F58C1" w:rsidRPr="003B6AF3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3B6AF3">
              <w:rPr>
                <w:sz w:val="18"/>
                <w:szCs w:val="18"/>
              </w:rPr>
              <w:t xml:space="preserve">98 % </w:t>
            </w:r>
            <w:r>
              <w:rPr>
                <w:sz w:val="18"/>
                <w:szCs w:val="18"/>
              </w:rPr>
              <w:t>|</w:t>
            </w:r>
            <w:r w:rsidRPr="003B6AF3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8</w:t>
            </w:r>
            <w:r w:rsidRPr="003B6AF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655" w:type="dxa"/>
          </w:tcPr>
          <w:p w14:paraId="14183394" w14:textId="77777777" w:rsidR="002F58C1" w:rsidRPr="003B6AF3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3B6AF3">
              <w:rPr>
                <w:sz w:val="18"/>
                <w:szCs w:val="18"/>
              </w:rPr>
              <w:t>Bonusy, prémie</w:t>
            </w:r>
          </w:p>
        </w:tc>
        <w:tc>
          <w:tcPr>
            <w:tcW w:w="1417" w:type="dxa"/>
          </w:tcPr>
          <w:p w14:paraId="7F7F811D" w14:textId="77777777" w:rsidR="002F58C1" w:rsidRPr="003B6AF3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3B6AF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9</w:t>
            </w:r>
            <w:r w:rsidRPr="003B6AF3">
              <w:rPr>
                <w:sz w:val="18"/>
                <w:szCs w:val="18"/>
              </w:rPr>
              <w:t xml:space="preserve"> % </w:t>
            </w:r>
            <w:r>
              <w:rPr>
                <w:sz w:val="18"/>
                <w:szCs w:val="18"/>
              </w:rPr>
              <w:t>|</w:t>
            </w:r>
            <w:r w:rsidRPr="003B6AF3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9</w:t>
            </w:r>
            <w:r w:rsidRPr="003B6AF3">
              <w:rPr>
                <w:sz w:val="18"/>
                <w:szCs w:val="18"/>
              </w:rPr>
              <w:t xml:space="preserve"> %</w:t>
            </w:r>
          </w:p>
        </w:tc>
      </w:tr>
      <w:tr w:rsidR="002F58C1" w:rsidRPr="003B6AF3" w14:paraId="22D1F0DA" w14:textId="77777777" w:rsidTr="00025867">
        <w:tc>
          <w:tcPr>
            <w:tcW w:w="562" w:type="dxa"/>
          </w:tcPr>
          <w:p w14:paraId="00667F68" w14:textId="77777777" w:rsidR="002F58C1" w:rsidRPr="003B6AF3" w:rsidRDefault="002F58C1" w:rsidP="003977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14:paraId="773277DE" w14:textId="77777777" w:rsidR="002F58C1" w:rsidRPr="003B6AF3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3B6AF3">
              <w:rPr>
                <w:sz w:val="18"/>
                <w:szCs w:val="18"/>
              </w:rPr>
              <w:t>Vianočné odmeny (iné ako výkonové</w:t>
            </w:r>
            <w:r w:rsidRPr="00636A57">
              <w:t>)</w:t>
            </w:r>
          </w:p>
        </w:tc>
        <w:tc>
          <w:tcPr>
            <w:tcW w:w="1370" w:type="dxa"/>
          </w:tcPr>
          <w:p w14:paraId="662D7D9A" w14:textId="77777777" w:rsidR="002F58C1" w:rsidRPr="003B6AF3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3B6AF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3B6AF3">
              <w:rPr>
                <w:sz w:val="18"/>
                <w:szCs w:val="18"/>
              </w:rPr>
              <w:t xml:space="preserve"> % </w:t>
            </w:r>
            <w:r>
              <w:rPr>
                <w:sz w:val="18"/>
                <w:szCs w:val="18"/>
              </w:rPr>
              <w:t>|</w:t>
            </w:r>
            <w:r w:rsidRPr="003B6A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33</w:t>
            </w:r>
            <w:r w:rsidRPr="003B6AF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749" w:type="dxa"/>
          </w:tcPr>
          <w:p w14:paraId="7A387234" w14:textId="77777777" w:rsidR="002F58C1" w:rsidRPr="003B6AF3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3B6AF3">
              <w:rPr>
                <w:sz w:val="18"/>
                <w:szCs w:val="18"/>
              </w:rPr>
              <w:t>Vianočné odmeny (iné ako výkonové</w:t>
            </w:r>
            <w:r w:rsidRPr="00636A57">
              <w:t>)</w:t>
            </w:r>
          </w:p>
        </w:tc>
        <w:tc>
          <w:tcPr>
            <w:tcW w:w="1322" w:type="dxa"/>
          </w:tcPr>
          <w:p w14:paraId="62823F5B" w14:textId="77777777" w:rsidR="002F58C1" w:rsidRPr="003B6AF3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3B6AF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3B6AF3">
              <w:rPr>
                <w:sz w:val="18"/>
                <w:szCs w:val="18"/>
              </w:rPr>
              <w:t xml:space="preserve"> % </w:t>
            </w:r>
            <w:r>
              <w:rPr>
                <w:sz w:val="18"/>
                <w:szCs w:val="18"/>
              </w:rPr>
              <w:t>|</w:t>
            </w:r>
            <w:r w:rsidRPr="003B6A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40</w:t>
            </w:r>
            <w:r w:rsidRPr="003B6AF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655" w:type="dxa"/>
          </w:tcPr>
          <w:p w14:paraId="39C579AC" w14:textId="77777777" w:rsidR="002F58C1" w:rsidRPr="003B6AF3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BA2311">
              <w:rPr>
                <w:sz w:val="18"/>
                <w:szCs w:val="18"/>
              </w:rPr>
              <w:t>13. či 14. mzda</w:t>
            </w:r>
          </w:p>
        </w:tc>
        <w:tc>
          <w:tcPr>
            <w:tcW w:w="1417" w:type="dxa"/>
          </w:tcPr>
          <w:p w14:paraId="67D99FBC" w14:textId="77777777" w:rsidR="002F58C1" w:rsidRPr="003B6AF3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3B6AF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9</w:t>
            </w:r>
            <w:r w:rsidRPr="003B6AF3">
              <w:rPr>
                <w:sz w:val="18"/>
                <w:szCs w:val="18"/>
              </w:rPr>
              <w:t xml:space="preserve"> % </w:t>
            </w:r>
            <w:r>
              <w:rPr>
                <w:sz w:val="18"/>
                <w:szCs w:val="18"/>
              </w:rPr>
              <w:t>|</w:t>
            </w:r>
            <w:r w:rsidRPr="003B6A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38</w:t>
            </w:r>
            <w:r w:rsidRPr="003B6AF3">
              <w:rPr>
                <w:sz w:val="18"/>
                <w:szCs w:val="18"/>
              </w:rPr>
              <w:t xml:space="preserve"> %</w:t>
            </w:r>
          </w:p>
        </w:tc>
      </w:tr>
      <w:tr w:rsidR="002F58C1" w:rsidRPr="00BA2311" w14:paraId="3894CF31" w14:textId="77777777" w:rsidTr="00025867">
        <w:tc>
          <w:tcPr>
            <w:tcW w:w="562" w:type="dxa"/>
          </w:tcPr>
          <w:p w14:paraId="6B1190D7" w14:textId="77777777" w:rsidR="002F58C1" w:rsidRPr="00BA2311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BA2311">
              <w:rPr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</w:tcPr>
          <w:p w14:paraId="1BEE8A69" w14:textId="77777777" w:rsidR="002F58C1" w:rsidRPr="00BA2311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BA2311">
              <w:rPr>
                <w:sz w:val="18"/>
                <w:szCs w:val="18"/>
              </w:rPr>
              <w:t>13. či 14. mzda</w:t>
            </w:r>
          </w:p>
        </w:tc>
        <w:tc>
          <w:tcPr>
            <w:tcW w:w="1370" w:type="dxa"/>
          </w:tcPr>
          <w:p w14:paraId="29408CD4" w14:textId="77777777" w:rsidR="002F58C1" w:rsidRPr="00BA2311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3B6AF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</w:t>
            </w:r>
            <w:r w:rsidRPr="003B6AF3">
              <w:rPr>
                <w:sz w:val="18"/>
                <w:szCs w:val="18"/>
              </w:rPr>
              <w:t xml:space="preserve"> % </w:t>
            </w:r>
            <w:r>
              <w:rPr>
                <w:sz w:val="18"/>
                <w:szCs w:val="18"/>
              </w:rPr>
              <w:t>|</w:t>
            </w:r>
            <w:r w:rsidRPr="003B6A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</w:t>
            </w:r>
            <w:r w:rsidRPr="003B6AF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749" w:type="dxa"/>
          </w:tcPr>
          <w:p w14:paraId="2C675AB6" w14:textId="77777777" w:rsidR="002F58C1" w:rsidRPr="00BA2311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BA2311">
              <w:rPr>
                <w:sz w:val="18"/>
                <w:szCs w:val="18"/>
              </w:rPr>
              <w:t>Dovolenka 5 a viac týždňov</w:t>
            </w:r>
          </w:p>
        </w:tc>
        <w:tc>
          <w:tcPr>
            <w:tcW w:w="1322" w:type="dxa"/>
          </w:tcPr>
          <w:p w14:paraId="140FCCB7" w14:textId="77777777" w:rsidR="002F58C1" w:rsidRPr="00BA2311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3B6AF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3B6AF3">
              <w:rPr>
                <w:sz w:val="18"/>
                <w:szCs w:val="18"/>
              </w:rPr>
              <w:t xml:space="preserve"> % </w:t>
            </w:r>
            <w:r>
              <w:rPr>
                <w:sz w:val="18"/>
                <w:szCs w:val="18"/>
              </w:rPr>
              <w:t>|</w:t>
            </w:r>
            <w:r w:rsidRPr="003B6A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3B6AF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655" w:type="dxa"/>
          </w:tcPr>
          <w:p w14:paraId="3D2D3EBB" w14:textId="77777777" w:rsidR="002F58C1" w:rsidRPr="00BA2311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BA2311">
              <w:rPr>
                <w:sz w:val="18"/>
                <w:szCs w:val="18"/>
              </w:rPr>
              <w:t>Dovolenka 5 a viac týždňov</w:t>
            </w:r>
          </w:p>
        </w:tc>
        <w:tc>
          <w:tcPr>
            <w:tcW w:w="1417" w:type="dxa"/>
          </w:tcPr>
          <w:p w14:paraId="0BCC52E5" w14:textId="77777777" w:rsidR="002F58C1" w:rsidRPr="00BA2311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3B6AF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</w:t>
            </w:r>
            <w:r w:rsidRPr="003B6AF3">
              <w:rPr>
                <w:sz w:val="18"/>
                <w:szCs w:val="18"/>
              </w:rPr>
              <w:t xml:space="preserve"> % </w:t>
            </w:r>
            <w:r>
              <w:rPr>
                <w:sz w:val="18"/>
                <w:szCs w:val="18"/>
              </w:rPr>
              <w:t>|</w:t>
            </w:r>
            <w:r w:rsidRPr="003B6A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24</w:t>
            </w:r>
            <w:r w:rsidRPr="003B6AF3">
              <w:rPr>
                <w:sz w:val="18"/>
                <w:szCs w:val="18"/>
              </w:rPr>
              <w:t xml:space="preserve"> %</w:t>
            </w:r>
          </w:p>
        </w:tc>
      </w:tr>
      <w:tr w:rsidR="002F58C1" w:rsidRPr="00BA2311" w14:paraId="4AFE4E8D" w14:textId="77777777" w:rsidTr="00025867">
        <w:tc>
          <w:tcPr>
            <w:tcW w:w="562" w:type="dxa"/>
          </w:tcPr>
          <w:p w14:paraId="3FDD66E3" w14:textId="77777777" w:rsidR="002F58C1" w:rsidRPr="00BA2311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BA231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2BC0F55F" w14:textId="77777777" w:rsidR="002F58C1" w:rsidRPr="00BA2311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BA2311">
              <w:rPr>
                <w:sz w:val="18"/>
                <w:szCs w:val="18"/>
              </w:rPr>
              <w:t>Dovolenka 5 a viac týždňov</w:t>
            </w:r>
          </w:p>
        </w:tc>
        <w:tc>
          <w:tcPr>
            <w:tcW w:w="1370" w:type="dxa"/>
          </w:tcPr>
          <w:p w14:paraId="24920E5D" w14:textId="77777777" w:rsidR="002F58C1" w:rsidRPr="00BA2311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3B6AF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</w:t>
            </w:r>
            <w:r w:rsidRPr="003B6AF3">
              <w:rPr>
                <w:sz w:val="18"/>
                <w:szCs w:val="18"/>
              </w:rPr>
              <w:t xml:space="preserve"> % </w:t>
            </w:r>
            <w:r>
              <w:rPr>
                <w:sz w:val="18"/>
                <w:szCs w:val="18"/>
              </w:rPr>
              <w:t>|</w:t>
            </w:r>
            <w:r w:rsidRPr="003B6A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31</w:t>
            </w:r>
            <w:r w:rsidRPr="003B6AF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749" w:type="dxa"/>
          </w:tcPr>
          <w:p w14:paraId="123DB8E4" w14:textId="77777777" w:rsidR="002F58C1" w:rsidRPr="00BA2311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BA2311">
              <w:rPr>
                <w:sz w:val="18"/>
                <w:szCs w:val="18"/>
              </w:rPr>
              <w:t>13. či 14. mzda</w:t>
            </w:r>
          </w:p>
        </w:tc>
        <w:tc>
          <w:tcPr>
            <w:tcW w:w="1322" w:type="dxa"/>
          </w:tcPr>
          <w:p w14:paraId="64EAB1A8" w14:textId="77777777" w:rsidR="002F58C1" w:rsidRPr="00BA2311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3B6AF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</w:t>
            </w:r>
            <w:r w:rsidRPr="003B6AF3">
              <w:rPr>
                <w:sz w:val="18"/>
                <w:szCs w:val="18"/>
              </w:rPr>
              <w:t xml:space="preserve"> % </w:t>
            </w:r>
            <w:r>
              <w:rPr>
                <w:sz w:val="18"/>
                <w:szCs w:val="18"/>
              </w:rPr>
              <w:t>|</w:t>
            </w:r>
            <w:r w:rsidRPr="003B6A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3B6AF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655" w:type="dxa"/>
          </w:tcPr>
          <w:p w14:paraId="1AAE6807" w14:textId="77777777" w:rsidR="002F58C1" w:rsidRPr="00BA2311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3B6AF3">
              <w:rPr>
                <w:sz w:val="18"/>
                <w:szCs w:val="18"/>
              </w:rPr>
              <w:t>Vianočné odmeny (iné ako výkonové</w:t>
            </w:r>
            <w:r w:rsidRPr="00636A57">
              <w:t>)</w:t>
            </w:r>
          </w:p>
        </w:tc>
        <w:tc>
          <w:tcPr>
            <w:tcW w:w="1417" w:type="dxa"/>
          </w:tcPr>
          <w:p w14:paraId="2FD9A0E5" w14:textId="77777777" w:rsidR="002F58C1" w:rsidRPr="00BA2311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3B6AF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</w:t>
            </w:r>
            <w:r w:rsidRPr="003B6AF3">
              <w:rPr>
                <w:sz w:val="18"/>
                <w:szCs w:val="18"/>
              </w:rPr>
              <w:t xml:space="preserve"> % </w:t>
            </w:r>
            <w:r>
              <w:rPr>
                <w:sz w:val="18"/>
                <w:szCs w:val="18"/>
              </w:rPr>
              <w:t>|</w:t>
            </w:r>
            <w:r w:rsidRPr="003B6A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39</w:t>
            </w:r>
            <w:r w:rsidRPr="003B6AF3">
              <w:rPr>
                <w:sz w:val="18"/>
                <w:szCs w:val="18"/>
              </w:rPr>
              <w:t xml:space="preserve"> %</w:t>
            </w:r>
          </w:p>
        </w:tc>
      </w:tr>
    </w:tbl>
    <w:p w14:paraId="19185D81" w14:textId="77777777" w:rsidR="002F58C1" w:rsidRPr="00BA2311" w:rsidRDefault="002F58C1" w:rsidP="003977AA">
      <w:pPr>
        <w:jc w:val="both"/>
        <w:rPr>
          <w:b/>
          <w:bCs/>
          <w:sz w:val="18"/>
          <w:szCs w:val="18"/>
        </w:rPr>
      </w:pPr>
    </w:p>
    <w:p w14:paraId="56C7CF04" w14:textId="77777777" w:rsidR="002F58C1" w:rsidRPr="00090C92" w:rsidRDefault="002F58C1" w:rsidP="003977AA">
      <w:pPr>
        <w:jc w:val="both"/>
        <w:rPr>
          <w:b/>
          <w:bCs/>
        </w:rPr>
      </w:pPr>
      <w:r w:rsidRPr="00090C92">
        <w:rPr>
          <w:b/>
          <w:bCs/>
        </w:rPr>
        <w:t>Aké sú plány z</w:t>
      </w:r>
      <w:r>
        <w:rPr>
          <w:b/>
          <w:bCs/>
        </w:rPr>
        <w:t>a</w:t>
      </w:r>
      <w:r w:rsidRPr="00090C92">
        <w:rPr>
          <w:b/>
          <w:bCs/>
        </w:rPr>
        <w:t>mestnávateľov?</w:t>
      </w:r>
    </w:p>
    <w:p w14:paraId="4A5DAC49" w14:textId="77777777" w:rsidR="002F58C1" w:rsidRDefault="002F58C1" w:rsidP="003977AA">
      <w:pPr>
        <w:jc w:val="both"/>
      </w:pPr>
      <w:r>
        <w:t xml:space="preserve">V snahe </w:t>
      </w:r>
      <w:r w:rsidRPr="00CB7105">
        <w:t>udržať si kvalifikovaných pracovníkov</w:t>
      </w:r>
      <w:r>
        <w:t xml:space="preserve"> plánovalo na tento rok zvýšenie miezd až 89 % zamestnávateľov, pričom vo viac ako polovici spoločností (presnejšie 54 %) sa mali mzdy zvýšiť o 6 – 10 %. V oblasti benefitov, a to aj tých finančných, je však situácia odlišná. S ich tohtoročným zvýšením počítalo len 31 % firiem, z toho väčšina (celkovo 20 %) plánovala zvýšenie poskytovaných benefitov o menej než 5 %. V 68 % spoločností mali ostať benefity oproti predchádzajúcemu roku bez zmeny, 1 % zamestnávateľov dokonca uvažovalo o ich znížení. Zamestnanci, ktorí doteraz neboli na koncoročné finančné benefity v podobe vianočných odmien alebo 13. či 14. mzdy zvyknutí, si tak pravdepodobne pred Vianocami neprilepšia ani tento rok.</w:t>
      </w:r>
    </w:p>
    <w:p w14:paraId="06A75293" w14:textId="4F2CADCC" w:rsidR="002F58C1" w:rsidRPr="005A08C6" w:rsidRDefault="002F58C1" w:rsidP="003977AA">
      <w:pPr>
        <w:jc w:val="both"/>
        <w:rPr>
          <w:b/>
          <w:bCs/>
        </w:rPr>
      </w:pPr>
      <w:r>
        <w:rPr>
          <w:b/>
          <w:bCs/>
        </w:rPr>
        <w:t>Peňažná motivácia sa zamestnávateľom vyplatí</w:t>
      </w:r>
    </w:p>
    <w:p w14:paraId="5C179403" w14:textId="7D2EC128" w:rsidR="002F58C1" w:rsidRDefault="002F58C1" w:rsidP="003977AA">
      <w:pPr>
        <w:jc w:val="both"/>
      </w:pPr>
      <w:r>
        <w:t xml:space="preserve">Výsledky prieskumu personálnej agentúry Grafton ukázali tiež to, že až </w:t>
      </w:r>
      <w:r w:rsidRPr="005A08C6">
        <w:t>dve tretiny slovenských firiem</w:t>
      </w:r>
      <w:r>
        <w:t xml:space="preserve"> </w:t>
      </w:r>
      <w:r w:rsidRPr="005A08C6">
        <w:t>dnes pripúšťajú</w:t>
      </w:r>
      <w:r>
        <w:t xml:space="preserve"> s</w:t>
      </w:r>
      <w:r w:rsidRPr="005A08C6">
        <w:t>kúsenosti so zvýšenou fluktuáciou. Hlavným dôvodom</w:t>
      </w:r>
      <w:r>
        <w:t xml:space="preserve"> </w:t>
      </w:r>
      <w:r w:rsidRPr="005A08C6">
        <w:t>odchodu zamestnancov je pritom skutočnosť, že</w:t>
      </w:r>
      <w:r>
        <w:t xml:space="preserve"> </w:t>
      </w:r>
      <w:r w:rsidRPr="005A08C6">
        <w:t>dostanú od iného zamestnávateľa ponuku vyššej</w:t>
      </w:r>
      <w:r>
        <w:t xml:space="preserve"> </w:t>
      </w:r>
      <w:r w:rsidRPr="005A08C6">
        <w:t>mzdy za porovnateľnú prácu</w:t>
      </w:r>
      <w:r w:rsidRPr="00A96072">
        <w:t>. Podľa slov Martina Mala však prax ukazuj</w:t>
      </w:r>
      <w:r>
        <w:t>e</w:t>
      </w:r>
      <w:r w:rsidRPr="00A96072">
        <w:t>, že v mnohých prípadoch existuje riešenie takejto situácie výhodné pre obe strany</w:t>
      </w:r>
      <w:r>
        <w:t>. M</w:t>
      </w:r>
      <w:r w:rsidRPr="00A96072">
        <w:t>ôžu ním byť aj vhodne zvolené benefity, ktoré sú v súlade s očakávaniami zamestnancov</w:t>
      </w:r>
      <w:r>
        <w:rPr>
          <w:i/>
          <w:iCs/>
        </w:rPr>
        <w:t>.</w:t>
      </w:r>
      <w:r>
        <w:t xml:space="preserve"> </w:t>
      </w:r>
      <w:r w:rsidRPr="00677281">
        <w:t xml:space="preserve">Práve vhodne zvolené benefity </w:t>
      </w:r>
      <w:r>
        <w:t xml:space="preserve">totiž </w:t>
      </w:r>
      <w:r w:rsidRPr="00677281">
        <w:t xml:space="preserve">hrajú dôležitú úlohu </w:t>
      </w:r>
      <w:r>
        <w:t>nielen</w:t>
      </w:r>
      <w:r w:rsidRPr="00677281">
        <w:t> pri rozhodovaní zamestnancov o prijatí novej pracovnej ponuky</w:t>
      </w:r>
      <w:r>
        <w:t>, ale sú</w:t>
      </w:r>
      <w:r w:rsidRPr="00677281">
        <w:t xml:space="preserve"> aj </w:t>
      </w:r>
      <w:r>
        <w:t>významn</w:t>
      </w:r>
      <w:r w:rsidRPr="00677281">
        <w:t>ým nástrojom na ich udržanie.</w:t>
      </w:r>
    </w:p>
    <w:p w14:paraId="0F96234A" w14:textId="0014513E" w:rsidR="002F58C1" w:rsidRDefault="002F58C1" w:rsidP="003977AA">
      <w:pPr>
        <w:jc w:val="both"/>
      </w:pPr>
      <w:r w:rsidRPr="003049FD">
        <w:rPr>
          <w:i/>
          <w:iCs/>
        </w:rPr>
        <w:t>„Investovať do súčasného, už zapracovaného a dobre fungujúceho zamestnanca, či už formou zvýšenia jeho mzdy alebo pridania vhodných benefitov, môže byť pre firmu v konečnom dôsledku výhodné, pretože nájdenie nového pracovníka je časovo aj finančne nákladnejšie než udržanie si súčasného,“</w:t>
      </w:r>
      <w:r>
        <w:t xml:space="preserve"> upozorňuje riaditeľ personálnej agentúry a dodáva: </w:t>
      </w:r>
      <w:r w:rsidRPr="002B730A">
        <w:rPr>
          <w:i/>
          <w:iCs/>
        </w:rPr>
        <w:t>„Nejde totiž len o náklady na nábor a zaškolenie, ktoré môžu dosiahnuť rádovo stovky eur.</w:t>
      </w:r>
      <w:r>
        <w:rPr>
          <w:i/>
          <w:iCs/>
        </w:rPr>
        <w:t xml:space="preserve"> </w:t>
      </w:r>
      <w:r w:rsidRPr="00D76249">
        <w:rPr>
          <w:i/>
          <w:iCs/>
        </w:rPr>
        <w:t>Ak k tomu pripočítame mzdu nového zamestnanca za prvé 4 mesiace, čo je priemerná doba na zaškolenie a zapracovanie sa nováčika, dostaneme sa na čiastku prevyšujúcu 10 000 eur</w:t>
      </w:r>
      <w:r>
        <w:rPr>
          <w:i/>
          <w:iCs/>
        </w:rPr>
        <w:t>,</w:t>
      </w:r>
      <w:r w:rsidRPr="00D76249">
        <w:rPr>
          <w:i/>
          <w:iCs/>
        </w:rPr>
        <w:t>“</w:t>
      </w:r>
      <w:r>
        <w:rPr>
          <w:i/>
          <w:iCs/>
        </w:rPr>
        <w:t xml:space="preserve"> </w:t>
      </w:r>
      <w:r w:rsidRPr="00E402CD">
        <w:t>uzatvára M. Malo.</w:t>
      </w:r>
    </w:p>
    <w:p w14:paraId="2E1CE4F4" w14:textId="4B0963B5" w:rsidR="002F58C1" w:rsidRPr="0005157F" w:rsidRDefault="002F58C1" w:rsidP="003977AA">
      <w:pPr>
        <w:jc w:val="both"/>
        <w:rPr>
          <w:b/>
          <w:bCs/>
          <w:sz w:val="24"/>
          <w:szCs w:val="24"/>
        </w:rPr>
      </w:pPr>
      <w:r w:rsidRPr="0005157F">
        <w:rPr>
          <w:b/>
          <w:bCs/>
          <w:sz w:val="24"/>
          <w:szCs w:val="24"/>
        </w:rPr>
        <w:t>Benefity, ktoré sú pre zamestnancov kľúčové</w:t>
      </w:r>
      <w:r w:rsidR="002C7C2E" w:rsidRPr="0005157F">
        <w:rPr>
          <w:b/>
          <w:bCs/>
          <w:sz w:val="24"/>
          <w:szCs w:val="24"/>
        </w:rPr>
        <w:t xml:space="preserve"> pri rozhodov</w:t>
      </w:r>
      <w:r w:rsidR="00B933D2" w:rsidRPr="0005157F">
        <w:rPr>
          <w:b/>
          <w:bCs/>
          <w:sz w:val="24"/>
          <w:szCs w:val="24"/>
        </w:rPr>
        <w:t>aní</w:t>
      </w:r>
      <w:r w:rsidRPr="0005157F">
        <w:rPr>
          <w:b/>
          <w:bCs/>
          <w:sz w:val="24"/>
          <w:szCs w:val="24"/>
        </w:rPr>
        <w:t xml:space="preserve"> (podstatne a čiastočne)</w:t>
      </w:r>
    </w:p>
    <w:tbl>
      <w:tblPr>
        <w:tblStyle w:val="Mriekatabuky"/>
        <w:tblW w:w="8500" w:type="dxa"/>
        <w:jc w:val="center"/>
        <w:tblLook w:val="04A0" w:firstRow="1" w:lastRow="0" w:firstColumn="1" w:lastColumn="0" w:noHBand="0" w:noVBand="1"/>
      </w:tblPr>
      <w:tblGrid>
        <w:gridCol w:w="421"/>
        <w:gridCol w:w="3260"/>
        <w:gridCol w:w="709"/>
        <w:gridCol w:w="3332"/>
        <w:gridCol w:w="778"/>
      </w:tblGrid>
      <w:tr w:rsidR="002F58C1" w:rsidRPr="00415F5F" w14:paraId="5DBDF567" w14:textId="77777777" w:rsidTr="0005157F">
        <w:trPr>
          <w:jc w:val="center"/>
        </w:trPr>
        <w:tc>
          <w:tcPr>
            <w:tcW w:w="421" w:type="dxa"/>
          </w:tcPr>
          <w:p w14:paraId="258841EE" w14:textId="77777777" w:rsidR="002F58C1" w:rsidRPr="00415F5F" w:rsidRDefault="002F58C1" w:rsidP="003977AA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77560067" w14:textId="51068241" w:rsidR="002F58C1" w:rsidRPr="00415F5F" w:rsidRDefault="0005157F" w:rsidP="003977AA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Pracovníci v kanceláriách</w:t>
            </w:r>
          </w:p>
        </w:tc>
        <w:tc>
          <w:tcPr>
            <w:tcW w:w="4110" w:type="dxa"/>
            <w:gridSpan w:val="2"/>
          </w:tcPr>
          <w:p w14:paraId="395A716B" w14:textId="2CFD9805" w:rsidR="002F58C1" w:rsidRPr="00415F5F" w:rsidRDefault="0005157F" w:rsidP="003977AA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Pracovníci vo výrobe</w:t>
            </w:r>
          </w:p>
        </w:tc>
      </w:tr>
      <w:tr w:rsidR="0005157F" w:rsidRPr="00415F5F" w14:paraId="1D27224E" w14:textId="77777777" w:rsidTr="0005157F">
        <w:trPr>
          <w:jc w:val="center"/>
        </w:trPr>
        <w:tc>
          <w:tcPr>
            <w:tcW w:w="421" w:type="dxa"/>
          </w:tcPr>
          <w:p w14:paraId="5B7C60F5" w14:textId="77777777" w:rsidR="0005157F" w:rsidRPr="00415F5F" w:rsidRDefault="0005157F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415F5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14:paraId="4DA09076" w14:textId="77777777" w:rsidR="0005157F" w:rsidRPr="00415F5F" w:rsidRDefault="0005157F" w:rsidP="003977AA">
            <w:pPr>
              <w:jc w:val="both"/>
              <w:rPr>
                <w:sz w:val="18"/>
                <w:szCs w:val="18"/>
              </w:rPr>
            </w:pPr>
            <w:r w:rsidRPr="00415F5F">
              <w:rPr>
                <w:sz w:val="18"/>
                <w:szCs w:val="18"/>
              </w:rPr>
              <w:t>Každoročná revízia miezd podľa inflácie</w:t>
            </w:r>
          </w:p>
        </w:tc>
        <w:tc>
          <w:tcPr>
            <w:tcW w:w="709" w:type="dxa"/>
          </w:tcPr>
          <w:p w14:paraId="23D2E991" w14:textId="77777777" w:rsidR="0005157F" w:rsidRPr="00415F5F" w:rsidRDefault="0005157F" w:rsidP="003977AA">
            <w:pPr>
              <w:jc w:val="both"/>
              <w:rPr>
                <w:sz w:val="18"/>
                <w:szCs w:val="18"/>
              </w:rPr>
            </w:pPr>
            <w:r w:rsidRPr="00415F5F">
              <w:rPr>
                <w:sz w:val="18"/>
                <w:szCs w:val="18"/>
              </w:rPr>
              <w:t>92 %</w:t>
            </w:r>
          </w:p>
        </w:tc>
        <w:tc>
          <w:tcPr>
            <w:tcW w:w="3332" w:type="dxa"/>
          </w:tcPr>
          <w:p w14:paraId="444C6563" w14:textId="77777777" w:rsidR="0005157F" w:rsidRPr="00415F5F" w:rsidRDefault="0005157F" w:rsidP="003977AA">
            <w:pPr>
              <w:jc w:val="both"/>
              <w:rPr>
                <w:sz w:val="18"/>
                <w:szCs w:val="18"/>
              </w:rPr>
            </w:pPr>
            <w:r w:rsidRPr="00415F5F">
              <w:rPr>
                <w:sz w:val="18"/>
                <w:szCs w:val="18"/>
              </w:rPr>
              <w:t>13. či 14. mzda</w:t>
            </w:r>
          </w:p>
        </w:tc>
        <w:tc>
          <w:tcPr>
            <w:tcW w:w="778" w:type="dxa"/>
          </w:tcPr>
          <w:p w14:paraId="41DA5CE8" w14:textId="77777777" w:rsidR="0005157F" w:rsidRPr="00415F5F" w:rsidRDefault="0005157F" w:rsidP="003977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93 %</w:t>
            </w:r>
          </w:p>
        </w:tc>
      </w:tr>
      <w:tr w:rsidR="0005157F" w:rsidRPr="00415F5F" w14:paraId="0CB7AD53" w14:textId="77777777" w:rsidTr="0005157F">
        <w:trPr>
          <w:jc w:val="center"/>
        </w:trPr>
        <w:tc>
          <w:tcPr>
            <w:tcW w:w="421" w:type="dxa"/>
          </w:tcPr>
          <w:p w14:paraId="015BC529" w14:textId="77777777" w:rsidR="0005157F" w:rsidRPr="00415F5F" w:rsidRDefault="0005157F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415F5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38A75990" w14:textId="77777777" w:rsidR="0005157F" w:rsidRPr="00415F5F" w:rsidRDefault="0005157F" w:rsidP="003977AA">
            <w:pPr>
              <w:jc w:val="both"/>
              <w:rPr>
                <w:sz w:val="18"/>
                <w:szCs w:val="18"/>
              </w:rPr>
            </w:pPr>
            <w:r w:rsidRPr="00415F5F">
              <w:rPr>
                <w:sz w:val="18"/>
                <w:szCs w:val="18"/>
              </w:rPr>
              <w:t>Bonusy, prémie</w:t>
            </w:r>
          </w:p>
        </w:tc>
        <w:tc>
          <w:tcPr>
            <w:tcW w:w="709" w:type="dxa"/>
          </w:tcPr>
          <w:p w14:paraId="0723AE7A" w14:textId="77777777" w:rsidR="0005157F" w:rsidRPr="00415F5F" w:rsidRDefault="0005157F" w:rsidP="003977AA">
            <w:pPr>
              <w:jc w:val="both"/>
              <w:rPr>
                <w:sz w:val="18"/>
                <w:szCs w:val="18"/>
              </w:rPr>
            </w:pPr>
            <w:r w:rsidRPr="00415F5F">
              <w:rPr>
                <w:sz w:val="18"/>
                <w:szCs w:val="18"/>
              </w:rPr>
              <w:t>86 %</w:t>
            </w:r>
          </w:p>
        </w:tc>
        <w:tc>
          <w:tcPr>
            <w:tcW w:w="3332" w:type="dxa"/>
          </w:tcPr>
          <w:p w14:paraId="52E333E2" w14:textId="77777777" w:rsidR="0005157F" w:rsidRPr="00415F5F" w:rsidRDefault="0005157F" w:rsidP="003977AA">
            <w:pPr>
              <w:jc w:val="both"/>
              <w:rPr>
                <w:sz w:val="18"/>
                <w:szCs w:val="18"/>
              </w:rPr>
            </w:pPr>
            <w:r w:rsidRPr="00415F5F">
              <w:rPr>
                <w:sz w:val="18"/>
                <w:szCs w:val="18"/>
              </w:rPr>
              <w:t>Bonusy, prémie</w:t>
            </w:r>
          </w:p>
        </w:tc>
        <w:tc>
          <w:tcPr>
            <w:tcW w:w="778" w:type="dxa"/>
          </w:tcPr>
          <w:p w14:paraId="714A54D1" w14:textId="77777777" w:rsidR="0005157F" w:rsidRPr="00415F5F" w:rsidRDefault="0005157F" w:rsidP="003977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91 %</w:t>
            </w:r>
          </w:p>
        </w:tc>
      </w:tr>
      <w:tr w:rsidR="0005157F" w:rsidRPr="00415F5F" w14:paraId="239F72FB" w14:textId="77777777" w:rsidTr="0005157F">
        <w:trPr>
          <w:jc w:val="center"/>
        </w:trPr>
        <w:tc>
          <w:tcPr>
            <w:tcW w:w="421" w:type="dxa"/>
          </w:tcPr>
          <w:p w14:paraId="7D80F941" w14:textId="77777777" w:rsidR="0005157F" w:rsidRPr="00415F5F" w:rsidRDefault="0005157F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415F5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14:paraId="57E723FB" w14:textId="77777777" w:rsidR="0005157F" w:rsidRPr="00415F5F" w:rsidRDefault="0005157F" w:rsidP="003977AA">
            <w:pPr>
              <w:jc w:val="both"/>
              <w:rPr>
                <w:sz w:val="18"/>
                <w:szCs w:val="18"/>
              </w:rPr>
            </w:pPr>
            <w:r w:rsidRPr="00415F5F">
              <w:rPr>
                <w:sz w:val="18"/>
                <w:szCs w:val="18"/>
              </w:rPr>
              <w:t>13. či 14. mzda</w:t>
            </w:r>
          </w:p>
        </w:tc>
        <w:tc>
          <w:tcPr>
            <w:tcW w:w="709" w:type="dxa"/>
          </w:tcPr>
          <w:p w14:paraId="595C2747" w14:textId="77777777" w:rsidR="0005157F" w:rsidRPr="00415F5F" w:rsidRDefault="0005157F" w:rsidP="003977AA">
            <w:pPr>
              <w:jc w:val="both"/>
              <w:rPr>
                <w:sz w:val="18"/>
                <w:szCs w:val="18"/>
              </w:rPr>
            </w:pPr>
            <w:r w:rsidRPr="00415F5F">
              <w:rPr>
                <w:sz w:val="18"/>
                <w:szCs w:val="18"/>
              </w:rPr>
              <w:t>85 %</w:t>
            </w:r>
          </w:p>
        </w:tc>
        <w:tc>
          <w:tcPr>
            <w:tcW w:w="3332" w:type="dxa"/>
          </w:tcPr>
          <w:p w14:paraId="3CE7E36D" w14:textId="77777777" w:rsidR="0005157F" w:rsidRPr="00415F5F" w:rsidRDefault="0005157F" w:rsidP="003977AA">
            <w:pPr>
              <w:jc w:val="both"/>
              <w:rPr>
                <w:sz w:val="18"/>
                <w:szCs w:val="18"/>
              </w:rPr>
            </w:pPr>
            <w:r w:rsidRPr="00415F5F">
              <w:rPr>
                <w:sz w:val="18"/>
                <w:szCs w:val="18"/>
              </w:rPr>
              <w:t>Každoročná revízia miezd podľa inflácie</w:t>
            </w:r>
          </w:p>
        </w:tc>
        <w:tc>
          <w:tcPr>
            <w:tcW w:w="778" w:type="dxa"/>
          </w:tcPr>
          <w:p w14:paraId="270C9F78" w14:textId="77777777" w:rsidR="0005157F" w:rsidRPr="00415F5F" w:rsidRDefault="0005157F" w:rsidP="003977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90 %</w:t>
            </w:r>
          </w:p>
        </w:tc>
      </w:tr>
      <w:tr w:rsidR="0005157F" w:rsidRPr="00415F5F" w14:paraId="07A88935" w14:textId="77777777" w:rsidTr="0005157F">
        <w:trPr>
          <w:jc w:val="center"/>
        </w:trPr>
        <w:tc>
          <w:tcPr>
            <w:tcW w:w="421" w:type="dxa"/>
          </w:tcPr>
          <w:p w14:paraId="370AD8EE" w14:textId="77777777" w:rsidR="0005157F" w:rsidRPr="00415F5F" w:rsidRDefault="0005157F" w:rsidP="003977AA">
            <w:pPr>
              <w:jc w:val="both"/>
              <w:rPr>
                <w:b/>
                <w:bCs/>
                <w:sz w:val="18"/>
                <w:szCs w:val="18"/>
              </w:rPr>
            </w:pPr>
            <w:r w:rsidRPr="00415F5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363102D2" w14:textId="77777777" w:rsidR="0005157F" w:rsidRPr="00415F5F" w:rsidRDefault="0005157F" w:rsidP="003977AA">
            <w:pPr>
              <w:jc w:val="both"/>
              <w:rPr>
                <w:sz w:val="18"/>
                <w:szCs w:val="18"/>
              </w:rPr>
            </w:pPr>
            <w:r w:rsidRPr="00415F5F">
              <w:rPr>
                <w:sz w:val="18"/>
                <w:szCs w:val="18"/>
              </w:rPr>
              <w:t>Vianočné odmeny (iné ako výkonové)</w:t>
            </w:r>
          </w:p>
        </w:tc>
        <w:tc>
          <w:tcPr>
            <w:tcW w:w="709" w:type="dxa"/>
          </w:tcPr>
          <w:p w14:paraId="1145FC65" w14:textId="77777777" w:rsidR="0005157F" w:rsidRPr="00415F5F" w:rsidRDefault="0005157F" w:rsidP="003977AA">
            <w:pPr>
              <w:jc w:val="both"/>
              <w:rPr>
                <w:sz w:val="18"/>
                <w:szCs w:val="18"/>
              </w:rPr>
            </w:pPr>
            <w:r w:rsidRPr="00415F5F">
              <w:rPr>
                <w:sz w:val="18"/>
                <w:szCs w:val="18"/>
              </w:rPr>
              <w:t>80 %</w:t>
            </w:r>
          </w:p>
        </w:tc>
        <w:tc>
          <w:tcPr>
            <w:tcW w:w="3332" w:type="dxa"/>
          </w:tcPr>
          <w:p w14:paraId="58A492BE" w14:textId="77777777" w:rsidR="0005157F" w:rsidRPr="00415F5F" w:rsidRDefault="0005157F" w:rsidP="003977AA">
            <w:pPr>
              <w:jc w:val="both"/>
              <w:rPr>
                <w:sz w:val="18"/>
                <w:szCs w:val="18"/>
              </w:rPr>
            </w:pPr>
            <w:r w:rsidRPr="00415F5F">
              <w:rPr>
                <w:sz w:val="18"/>
                <w:szCs w:val="18"/>
              </w:rPr>
              <w:t>Vianočné odmeny (iné ako výkonové</w:t>
            </w:r>
          </w:p>
        </w:tc>
        <w:tc>
          <w:tcPr>
            <w:tcW w:w="778" w:type="dxa"/>
          </w:tcPr>
          <w:p w14:paraId="3C9E75AA" w14:textId="77777777" w:rsidR="0005157F" w:rsidRPr="00415F5F" w:rsidRDefault="0005157F" w:rsidP="003977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84 %</w:t>
            </w:r>
          </w:p>
        </w:tc>
      </w:tr>
    </w:tbl>
    <w:p w14:paraId="2420E48C" w14:textId="77777777" w:rsidR="008C08A7" w:rsidRDefault="008C08A7" w:rsidP="003977AA">
      <w:pPr>
        <w:spacing w:line="240" w:lineRule="auto"/>
        <w:jc w:val="both"/>
      </w:pPr>
    </w:p>
    <w:p w14:paraId="320EECBD" w14:textId="77777777" w:rsidR="0005157F" w:rsidRDefault="0005157F">
      <w:pPr>
        <w:rPr>
          <w:rFonts w:ascii="Calibri" w:hAnsi="Calibri" w:cs="Calibri"/>
          <w:b/>
          <w:noProof/>
          <w:color w:val="000000" w:themeColor="text1"/>
          <w:sz w:val="18"/>
          <w:szCs w:val="18"/>
        </w:rPr>
      </w:pPr>
      <w:r>
        <w:rPr>
          <w:rFonts w:ascii="Calibri" w:hAnsi="Calibri" w:cs="Calibri"/>
          <w:b/>
          <w:noProof/>
          <w:color w:val="000000" w:themeColor="text1"/>
          <w:sz w:val="18"/>
          <w:szCs w:val="18"/>
        </w:rPr>
        <w:br w:type="page"/>
      </w:r>
    </w:p>
    <w:p w14:paraId="5C8B1332" w14:textId="267D5ABE" w:rsidR="00EE3D78" w:rsidRPr="00CC72A0" w:rsidRDefault="00EE3D78" w:rsidP="003977AA">
      <w:pPr>
        <w:jc w:val="both"/>
        <w:rPr>
          <w:rFonts w:ascii="Calibri" w:hAnsi="Calibri" w:cs="Calibri"/>
          <w:noProof/>
          <w:color w:val="000000" w:themeColor="text1"/>
          <w:sz w:val="18"/>
          <w:szCs w:val="18"/>
        </w:rPr>
      </w:pPr>
      <w:r w:rsidRPr="00CC72A0">
        <w:rPr>
          <w:rFonts w:ascii="Calibri" w:hAnsi="Calibri" w:cs="Calibri"/>
          <w:b/>
          <w:noProof/>
          <w:color w:val="000000" w:themeColor="text1"/>
          <w:sz w:val="18"/>
          <w:szCs w:val="18"/>
        </w:rPr>
        <w:lastRenderedPageBreak/>
        <w:t>Pre viac informácií kontaktujte</w:t>
      </w:r>
      <w:r w:rsidRPr="00CC72A0">
        <w:rPr>
          <w:rFonts w:ascii="Calibri" w:hAnsi="Calibri" w:cs="Calibri"/>
          <w:noProof/>
          <w:color w:val="000000" w:themeColor="text1"/>
          <w:sz w:val="18"/>
          <w:szCs w:val="18"/>
        </w:rPr>
        <w:t xml:space="preserve">: </w:t>
      </w:r>
    </w:p>
    <w:p w14:paraId="5E6C42E6" w14:textId="77777777" w:rsidR="00EE3D78" w:rsidRPr="00CC72A0" w:rsidRDefault="00EE3D78" w:rsidP="003977AA">
      <w:pPr>
        <w:pStyle w:val="Bezriadkovania"/>
        <w:jc w:val="both"/>
        <w:rPr>
          <w:rFonts w:ascii="Calibri" w:hAnsi="Calibri" w:cs="Calibri"/>
          <w:noProof/>
          <w:color w:val="000000" w:themeColor="text1"/>
          <w:sz w:val="18"/>
          <w:szCs w:val="18"/>
          <w:lang w:val="sk-SK"/>
        </w:rPr>
      </w:pPr>
      <w:r w:rsidRPr="00CC72A0">
        <w:rPr>
          <w:rFonts w:ascii="Calibri" w:hAnsi="Calibri" w:cs="Calibri"/>
          <w:noProof/>
          <w:color w:val="000000" w:themeColor="text1"/>
          <w:sz w:val="18"/>
          <w:szCs w:val="18"/>
          <w:lang w:val="sk-SK"/>
        </w:rPr>
        <w:t xml:space="preserve">Katarína Droppová, PR Consultant, 10/10 COMMUNICATIONS, +421 948 288 228, </w:t>
      </w:r>
      <w:r w:rsidRPr="00CC72A0">
        <w:rPr>
          <w:rFonts w:ascii="Calibri" w:hAnsi="Calibri" w:cs="Calibri"/>
          <w:noProof/>
          <w:color w:val="000000" w:themeColor="text1"/>
          <w:sz w:val="18"/>
          <w:szCs w:val="18"/>
          <w:u w:val="single"/>
          <w:lang w:val="sk-SK"/>
        </w:rPr>
        <w:t>katarina.droppova@1010comms.sk</w:t>
      </w:r>
    </w:p>
    <w:p w14:paraId="7B875ED5" w14:textId="77777777" w:rsidR="00DE3E4F" w:rsidRDefault="00DE3E4F" w:rsidP="003977AA">
      <w:pPr>
        <w:jc w:val="both"/>
        <w:rPr>
          <w:rFonts w:ascii="Calibri" w:eastAsia="GillSansCE-Light" w:hAnsi="Calibri" w:cs="Calibri"/>
          <w:b/>
          <w:color w:val="000000" w:themeColor="text1"/>
          <w:sz w:val="20"/>
          <w:szCs w:val="20"/>
        </w:rPr>
      </w:pPr>
    </w:p>
    <w:p w14:paraId="3CE5F47C" w14:textId="2B190FFE" w:rsidR="00DB2670" w:rsidRPr="00CC72A0" w:rsidRDefault="00DB2670" w:rsidP="003977AA">
      <w:pPr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CC72A0">
        <w:rPr>
          <w:rFonts w:ascii="Calibri" w:eastAsia="GillSansCE-Light" w:hAnsi="Calibri" w:cs="Calibri"/>
          <w:b/>
          <w:color w:val="000000" w:themeColor="text1"/>
          <w:sz w:val="20"/>
          <w:szCs w:val="20"/>
        </w:rPr>
        <w:t xml:space="preserve">O </w:t>
      </w:r>
      <w:bookmarkStart w:id="0" w:name="__DdeLink__106_353089834"/>
      <w:r w:rsidRPr="00CC72A0">
        <w:rPr>
          <w:rFonts w:ascii="Calibri" w:eastAsia="GillSansCE-Light" w:hAnsi="Calibri" w:cs="Calibri"/>
          <w:b/>
          <w:color w:val="000000" w:themeColor="text1"/>
          <w:sz w:val="20"/>
          <w:szCs w:val="20"/>
        </w:rPr>
        <w:t xml:space="preserve">Grafton </w:t>
      </w:r>
      <w:bookmarkEnd w:id="0"/>
      <w:r w:rsidRPr="00CC72A0">
        <w:rPr>
          <w:rFonts w:ascii="Calibri" w:eastAsia="GillSansCE-Light" w:hAnsi="Calibri" w:cs="Calibri"/>
          <w:b/>
          <w:color w:val="000000" w:themeColor="text1"/>
          <w:sz w:val="20"/>
          <w:szCs w:val="20"/>
        </w:rPr>
        <w:t>Slovakia</w:t>
      </w:r>
    </w:p>
    <w:p w14:paraId="2989E413" w14:textId="5F5A0E5B" w:rsidR="00F331A3" w:rsidRPr="00CC72A0" w:rsidRDefault="00DB2670" w:rsidP="003977AA">
      <w:pPr>
        <w:jc w:val="both"/>
        <w:rPr>
          <w:rFonts w:ascii="Calibri" w:eastAsia="GillSansCE-Light" w:hAnsi="Calibri" w:cs="Calibri"/>
          <w:color w:val="000000" w:themeColor="text1"/>
          <w:sz w:val="20"/>
          <w:szCs w:val="20"/>
        </w:rPr>
      </w:pPr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 xml:space="preserve">Personálna agentúra Grafton Slovakia bola založená v roku 2004 a v súčasnej dobe pôsobí v Bratislave, Nitre, Košiciach, Prešove a Žiline. Je súčasťou Gi Group Holding. Svojim lokálnym aj medzinárodným klientom, ako i uchádzačom o prácu ponúka široké portfólio služieb v oblasti náboru, dočasného pridelenia zamestnancov a talent manažmentu či rôznorodých HR riešení. Pripravuje tiež na mieru riešenia outsourcingu alebo kompletné zaistenie servisu náboru riadením celého procesu ako hlavný dodávateľ. Patrí medzi popredných poskytovateľov outplacementových služieb a poradenstva, ako aj výberu zamestnancov pomocou assessment centier, špeciálnych testov a dodatočne ponúka poradenský servis v oblasti ľudských zdrojov. Viac na </w:t>
      </w:r>
      <w:hyperlink r:id="rId8">
        <w:r w:rsidRPr="00CC72A0">
          <w:rPr>
            <w:rFonts w:ascii="Calibri" w:hAnsi="Calibri" w:cs="Calibri"/>
            <w:color w:val="000000" w:themeColor="text1"/>
            <w:sz w:val="20"/>
            <w:szCs w:val="20"/>
            <w:u w:val="single"/>
          </w:rPr>
          <w:t>www.grafton.sk</w:t>
        </w:r>
      </w:hyperlink>
    </w:p>
    <w:p w14:paraId="6F929F01" w14:textId="3C8A87D6" w:rsidR="00EE3D78" w:rsidRPr="00CC72A0" w:rsidRDefault="00EE3D78" w:rsidP="003977AA">
      <w:pPr>
        <w:jc w:val="both"/>
        <w:rPr>
          <w:rFonts w:ascii="Calibri" w:eastAsia="GillSansCE-Light" w:hAnsi="Calibri" w:cs="Calibri"/>
          <w:b/>
          <w:color w:val="000000" w:themeColor="text1"/>
          <w:sz w:val="20"/>
          <w:szCs w:val="20"/>
        </w:rPr>
      </w:pPr>
      <w:r w:rsidRPr="00CC72A0">
        <w:rPr>
          <w:rFonts w:ascii="Calibri" w:eastAsia="GillSansCE-Light" w:hAnsi="Calibri" w:cs="Calibri"/>
          <w:b/>
          <w:color w:val="000000" w:themeColor="text1"/>
          <w:sz w:val="20"/>
          <w:szCs w:val="20"/>
        </w:rPr>
        <w:t>O Gi Group Holding</w:t>
      </w:r>
    </w:p>
    <w:p w14:paraId="757D4A12" w14:textId="34D19534" w:rsidR="00811488" w:rsidRDefault="00EE3D78" w:rsidP="003977AA">
      <w:pPr>
        <w:jc w:val="both"/>
        <w:rPr>
          <w:rStyle w:val="Hypertextovprepojenie"/>
          <w:color w:val="000000" w:themeColor="text1"/>
          <w:sz w:val="20"/>
          <w:szCs w:val="20"/>
        </w:rPr>
      </w:pPr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 xml:space="preserve">Gi Group Holding je prvá talianska nadnárodná spoločnosť pôsobiaca v oblasti zamestnávania a zároveň je jedným zo svetových lídrov v oblasti služieb zameraných na rozvoj trhu práce. Skupina pôsobí v oblasti dočasného pridelenia i zamestnávania na hlavný pracovný pomer, ďalej potom vyhľadávania a výberu zamestnancov, executive search, školenia, podpory relokácie, outsourcingu a poradenstva v oblasti personálnych a administratívnych služieb. </w:t>
      </w:r>
      <w:r w:rsidRPr="00CC72A0">
        <w:rPr>
          <w:color w:val="000000" w:themeColor="text1"/>
          <w:sz w:val="20"/>
          <w:szCs w:val="20"/>
        </w:rPr>
        <w:t>Spoločnosť zamestnáva viac než 6 000 zamestnancov a vďaka svojej priamej prítomnosti a strategickým partnerstvám pôsobí vo viac než 100 krajinách Európy, APAC, Ameriky a Afriky. Gi Group Holding poskytuje služby viac než 20 000 klientskych spoločnostiam a s tržbami vo výške 3,3 miliardy EUR (2021) je 5. najväčšou európskou personálnou firmou a 16. na svete (podľa Staffing Industry Analysts).</w:t>
      </w:r>
      <w:r w:rsidRPr="00CC72A0">
        <w:rPr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Pr="00CC72A0">
          <w:rPr>
            <w:rStyle w:val="Hypertextovprepojenie"/>
            <w:color w:val="000000" w:themeColor="text1"/>
            <w:sz w:val="20"/>
            <w:szCs w:val="20"/>
          </w:rPr>
          <w:t>www.gigroupholding.com</w:t>
        </w:r>
      </w:hyperlink>
      <w:r w:rsidR="00DE3E4F">
        <w:rPr>
          <w:rStyle w:val="Hypertextovprepojenie"/>
          <w:color w:val="000000" w:themeColor="text1"/>
          <w:sz w:val="20"/>
          <w:szCs w:val="20"/>
        </w:rPr>
        <w:t xml:space="preserve"> </w:t>
      </w:r>
    </w:p>
    <w:sectPr w:rsidR="00811488" w:rsidSect="00B40013">
      <w:headerReference w:type="default" r:id="rId10"/>
      <w:footerReference w:type="default" r:id="rId11"/>
      <w:pgSz w:w="11906" w:h="16838"/>
      <w:pgMar w:top="154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7F0B3" w14:textId="77777777" w:rsidR="004C7D76" w:rsidRDefault="004C7D76" w:rsidP="00BA3102">
      <w:pPr>
        <w:spacing w:after="0" w:line="240" w:lineRule="auto"/>
      </w:pPr>
      <w:r>
        <w:separator/>
      </w:r>
    </w:p>
  </w:endnote>
  <w:endnote w:type="continuationSeparator" w:id="0">
    <w:p w14:paraId="04597862" w14:textId="77777777" w:rsidR="004C7D76" w:rsidRDefault="004C7D76" w:rsidP="00BA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-Regular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GillSansCE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DB709" w14:textId="0276E310" w:rsidR="00F77635" w:rsidRDefault="00AB014E" w:rsidP="009A33F4">
    <w:pPr>
      <w:pStyle w:val="Pta"/>
      <w:ind w:left="-1417"/>
      <w:rPr>
        <w:noProof/>
      </w:rPr>
    </w:pPr>
    <w:r w:rsidRPr="00AB014E">
      <w:rPr>
        <w:noProof/>
      </w:rPr>
      <w:drawing>
        <wp:anchor distT="0" distB="0" distL="114300" distR="114300" simplePos="0" relativeHeight="251666432" behindDoc="1" locked="0" layoutInCell="1" allowOverlap="1" wp14:anchorId="50CE1EEC" wp14:editId="13F2FADF">
          <wp:simplePos x="0" y="0"/>
          <wp:positionH relativeFrom="column">
            <wp:posOffset>-1943735</wp:posOffset>
          </wp:positionH>
          <wp:positionV relativeFrom="paragraph">
            <wp:posOffset>-92710</wp:posOffset>
          </wp:positionV>
          <wp:extent cx="5760720" cy="1810385"/>
          <wp:effectExtent l="0" t="0" r="0" b="0"/>
          <wp:wrapNone/>
          <wp:docPr id="31" name="Obrázo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1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93EFF6" w14:textId="4D637CEA" w:rsidR="005A503D" w:rsidRDefault="005A503D" w:rsidP="009A33F4">
    <w:pPr>
      <w:pStyle w:val="Pta"/>
      <w:ind w:left="-1417"/>
    </w:pPr>
    <w:r>
      <w:rPr>
        <w:noProof/>
      </w:rPr>
      <w:t xml:space="preserve">           </w:t>
    </w:r>
    <w:r>
      <w:rPr>
        <w:noProof/>
        <w:lang w:val="sk-SK" w:eastAsia="sk-SK"/>
      </w:rPr>
      <w:drawing>
        <wp:inline distT="0" distB="0" distL="0" distR="0" wp14:anchorId="43774A1D" wp14:editId="2FFEA193">
          <wp:extent cx="994868" cy="390722"/>
          <wp:effectExtent l="0" t="0" r="0" b="9525"/>
          <wp:docPr id="29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115" cy="406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C56307">
      <w:rPr>
        <w:noProof/>
      </w:rPr>
      <w:drawing>
        <wp:inline distT="0" distB="0" distL="0" distR="0" wp14:anchorId="7CBC0202" wp14:editId="444AD0A3">
          <wp:extent cx="940570" cy="387985"/>
          <wp:effectExtent l="0" t="0" r="0" b="0"/>
          <wp:docPr id="12024519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5193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43532" cy="389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tab/>
    </w:r>
  </w:p>
  <w:p w14:paraId="392FC1B1" w14:textId="45704505" w:rsidR="005A503D" w:rsidRDefault="005A503D" w:rsidP="009A33F4">
    <w:pPr>
      <w:pStyle w:val="Pta"/>
      <w:ind w:left="-1417"/>
    </w:pPr>
  </w:p>
  <w:p w14:paraId="6CEE7F44" w14:textId="31D842B3" w:rsidR="005A503D" w:rsidRDefault="008F1D89" w:rsidP="009A33F4">
    <w:pPr>
      <w:autoSpaceDE w:val="0"/>
      <w:autoSpaceDN w:val="0"/>
      <w:adjustRightInd w:val="0"/>
      <w:spacing w:after="0" w:line="240" w:lineRule="auto"/>
      <w:ind w:left="-851"/>
      <w:rPr>
        <w:rFonts w:cs="Calibri"/>
        <w:color w:val="585757"/>
        <w:sz w:val="18"/>
        <w:szCs w:val="18"/>
        <w:lang w:eastAsia="cs-CZ"/>
      </w:rPr>
    </w:pPr>
    <w:r>
      <w:rPr>
        <w:rFonts w:cs="Calibri"/>
        <w:color w:val="585757"/>
        <w:sz w:val="18"/>
        <w:szCs w:val="18"/>
        <w:lang w:eastAsia="cs-CZ"/>
      </w:rPr>
      <w:t>Sídlo: Obchodná 2</w:t>
    </w:r>
    <w:r w:rsidR="005A503D">
      <w:rPr>
        <w:rFonts w:cs="Calibri"/>
        <w:color w:val="585757"/>
        <w:sz w:val="18"/>
        <w:szCs w:val="18"/>
        <w:lang w:eastAsia="cs-CZ"/>
      </w:rPr>
      <w:t>, 811 01 Bratislava</w:t>
    </w:r>
    <w:r>
      <w:rPr>
        <w:rFonts w:cs="Calibri"/>
        <w:color w:val="585757"/>
        <w:sz w:val="18"/>
        <w:szCs w:val="18"/>
        <w:lang w:eastAsia="cs-CZ"/>
      </w:rPr>
      <w:t>, Kancelária: Plynárenská 7/A, 821 09 Bratislava</w:t>
    </w:r>
  </w:p>
  <w:p w14:paraId="14953CAE" w14:textId="52621D2E" w:rsidR="005A503D" w:rsidRDefault="005A503D" w:rsidP="009A33F4">
    <w:pPr>
      <w:ind w:left="-851"/>
    </w:pPr>
    <w:r w:rsidRPr="00AB014E">
      <w:rPr>
        <w:rFonts w:ascii="Calibri-Bold" w:hAnsi="Calibri-Bold" w:cs="Calibri-Bold"/>
        <w:b/>
        <w:bCs/>
        <w:color w:val="002060"/>
        <w:sz w:val="18"/>
        <w:szCs w:val="18"/>
        <w:lang w:eastAsia="cs-CZ"/>
      </w:rPr>
      <w:t>T</w:t>
    </w:r>
    <w:r w:rsidRPr="00AB014E">
      <w:rPr>
        <w:rFonts w:cs="Calibri"/>
        <w:color w:val="002060"/>
        <w:sz w:val="18"/>
        <w:szCs w:val="18"/>
        <w:lang w:eastAsia="cs-CZ"/>
      </w:rPr>
      <w:t xml:space="preserve">: </w:t>
    </w:r>
    <w:r w:rsidR="00D839E6" w:rsidRPr="00AB014E">
      <w:rPr>
        <w:rFonts w:cs="Calibri"/>
        <w:color w:val="585757"/>
        <w:sz w:val="18"/>
        <w:szCs w:val="18"/>
        <w:lang w:eastAsia="cs-CZ"/>
      </w:rPr>
      <w:t>+421 259 208 111</w:t>
    </w:r>
    <w:r w:rsidRPr="00AB014E">
      <w:rPr>
        <w:rFonts w:cs="Calibri"/>
        <w:color w:val="585757"/>
        <w:sz w:val="18"/>
        <w:szCs w:val="18"/>
        <w:lang w:eastAsia="cs-CZ"/>
      </w:rPr>
      <w:t xml:space="preserve">  </w:t>
    </w:r>
    <w:r w:rsidRPr="00AB014E">
      <w:rPr>
        <w:rFonts w:ascii="Calibri-Bold" w:hAnsi="Calibri-Bold" w:cs="Calibri-Bold"/>
        <w:b/>
        <w:bCs/>
        <w:color w:val="002060"/>
        <w:sz w:val="18"/>
        <w:szCs w:val="18"/>
        <w:lang w:eastAsia="cs-CZ"/>
      </w:rPr>
      <w:t>E</w:t>
    </w:r>
    <w:r w:rsidRPr="00AB014E">
      <w:rPr>
        <w:rFonts w:cs="Calibri"/>
        <w:color w:val="002060"/>
        <w:sz w:val="18"/>
        <w:szCs w:val="18"/>
        <w:lang w:eastAsia="cs-CZ"/>
      </w:rPr>
      <w:t>:</w:t>
    </w:r>
    <w:r w:rsidRPr="00AB014E">
      <w:rPr>
        <w:rFonts w:cs="Calibri"/>
        <w:color w:val="C3172F"/>
        <w:sz w:val="18"/>
        <w:szCs w:val="18"/>
        <w:lang w:eastAsia="cs-CZ"/>
      </w:rPr>
      <w:t xml:space="preserve"> </w:t>
    </w:r>
    <w:r w:rsidRPr="00AB014E">
      <w:rPr>
        <w:rFonts w:cs="Calibri"/>
        <w:color w:val="585757"/>
        <w:sz w:val="18"/>
        <w:szCs w:val="18"/>
        <w:lang w:eastAsia="cs-CZ"/>
      </w:rPr>
      <w:t>info@grafton</w:t>
    </w:r>
    <w:r>
      <w:rPr>
        <w:rFonts w:cs="Calibri"/>
        <w:color w:val="585757"/>
        <w:sz w:val="18"/>
        <w:szCs w:val="18"/>
        <w:lang w:eastAsia="cs-CZ"/>
      </w:rPr>
      <w:t>.sk</w:t>
    </w:r>
    <w:r w:rsidR="00D839E6">
      <w:rPr>
        <w:rFonts w:cs="Calibri"/>
        <w:color w:val="585757"/>
        <w:sz w:val="18"/>
        <w:szCs w:val="18"/>
        <w:lang w:eastAsia="cs-CZ"/>
      </w:rPr>
      <w:t xml:space="preserve">    </w:t>
    </w:r>
    <w:r>
      <w:rPr>
        <w:rFonts w:cs="Calibri"/>
        <w:color w:val="585757"/>
        <w:sz w:val="18"/>
        <w:szCs w:val="18"/>
        <w:lang w:eastAsia="cs-CZ"/>
      </w:rPr>
      <w:t xml:space="preserve"> </w:t>
    </w:r>
    <w:r>
      <w:rPr>
        <w:rFonts w:cs="Calibri"/>
        <w:color w:val="002060"/>
        <w:sz w:val="18"/>
        <w:szCs w:val="18"/>
        <w:lang w:eastAsia="cs-CZ"/>
      </w:rPr>
      <w:t>www.grafton.sk</w:t>
    </w:r>
  </w:p>
  <w:p w14:paraId="52256A46" w14:textId="21234F58" w:rsidR="005A503D" w:rsidRDefault="005A503D" w:rsidP="009A33F4">
    <w:pPr>
      <w:pStyle w:val="Pta"/>
      <w:ind w:left="-1417"/>
    </w:pPr>
    <w:r>
      <w:tab/>
    </w:r>
  </w:p>
  <w:p w14:paraId="29F662CC" w14:textId="52FC2695" w:rsidR="005A503D" w:rsidRPr="009A33F4" w:rsidRDefault="005A503D" w:rsidP="009A33F4">
    <w:pPr>
      <w:pStyle w:val="Pta"/>
      <w:tabs>
        <w:tab w:val="clear" w:pos="4536"/>
        <w:tab w:val="clear" w:pos="9072"/>
        <w:tab w:val="left" w:pos="14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08127" w14:textId="77777777" w:rsidR="004C7D76" w:rsidRDefault="004C7D76" w:rsidP="00BA3102">
      <w:pPr>
        <w:spacing w:after="0" w:line="240" w:lineRule="auto"/>
      </w:pPr>
      <w:r>
        <w:separator/>
      </w:r>
    </w:p>
  </w:footnote>
  <w:footnote w:type="continuationSeparator" w:id="0">
    <w:p w14:paraId="1EF85E43" w14:textId="77777777" w:rsidR="004C7D76" w:rsidRDefault="004C7D76" w:rsidP="00BA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EA54C" w14:textId="4B943A8B" w:rsidR="00F77635" w:rsidRDefault="00F77635" w:rsidP="009A33F4">
    <w:pPr>
      <w:pStyle w:val="Hlavika"/>
      <w:tabs>
        <w:tab w:val="left" w:pos="675"/>
      </w:tabs>
    </w:pPr>
    <w:r>
      <w:rPr>
        <w:noProof/>
        <w:lang w:val="sk-SK" w:eastAsia="sk-SK"/>
      </w:rPr>
      <w:drawing>
        <wp:anchor distT="152400" distB="152400" distL="152400" distR="152400" simplePos="0" relativeHeight="251663360" behindDoc="1" locked="0" layoutInCell="1" allowOverlap="1" wp14:anchorId="2FF5B516" wp14:editId="1B707E83">
          <wp:simplePos x="0" y="0"/>
          <wp:positionH relativeFrom="margin">
            <wp:posOffset>4557395</wp:posOffset>
          </wp:positionH>
          <wp:positionV relativeFrom="margin">
            <wp:posOffset>-1047750</wp:posOffset>
          </wp:positionV>
          <wp:extent cx="1555204" cy="538158"/>
          <wp:effectExtent l="0" t="0" r="6985" b="0"/>
          <wp:wrapNone/>
          <wp:docPr id="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5204" cy="5381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A503D">
      <w:tab/>
    </w:r>
    <w:r w:rsidR="005A503D">
      <w:tab/>
    </w:r>
  </w:p>
  <w:p w14:paraId="2EDDA352" w14:textId="77777777" w:rsidR="00F77635" w:rsidRDefault="00F77635" w:rsidP="009A33F4">
    <w:pPr>
      <w:pStyle w:val="Hlavika"/>
      <w:tabs>
        <w:tab w:val="left" w:pos="675"/>
      </w:tabs>
    </w:pPr>
  </w:p>
  <w:p w14:paraId="38254C0D" w14:textId="77777777" w:rsidR="00F77635" w:rsidRDefault="00F77635" w:rsidP="009A33F4">
    <w:pPr>
      <w:pStyle w:val="Hlavika"/>
      <w:tabs>
        <w:tab w:val="left" w:pos="675"/>
      </w:tabs>
    </w:pPr>
  </w:p>
  <w:p w14:paraId="718BAC60" w14:textId="77777777" w:rsidR="00F77635" w:rsidRDefault="00F77635" w:rsidP="009A33F4">
    <w:pPr>
      <w:pStyle w:val="Hlavika"/>
      <w:tabs>
        <w:tab w:val="left" w:pos="675"/>
      </w:tabs>
    </w:pPr>
  </w:p>
  <w:p w14:paraId="24A68A43" w14:textId="1096B27A" w:rsidR="005A503D" w:rsidRDefault="00F77635" w:rsidP="009A33F4">
    <w:pPr>
      <w:pStyle w:val="Hlavika"/>
      <w:tabs>
        <w:tab w:val="left" w:pos="675"/>
      </w:tabs>
    </w:pPr>
    <w:r>
      <w:rPr>
        <w:noProof/>
        <w:lang w:val="sk-SK" w:eastAsia="sk-SK"/>
      </w:rPr>
      <w:drawing>
        <wp:anchor distT="152400" distB="152400" distL="152400" distR="152400" simplePos="0" relativeHeight="251665408" behindDoc="1" locked="0" layoutInCell="1" allowOverlap="1" wp14:anchorId="06609D5A" wp14:editId="692E6387">
          <wp:simplePos x="0" y="0"/>
          <wp:positionH relativeFrom="page">
            <wp:posOffset>1403667</wp:posOffset>
          </wp:positionH>
          <wp:positionV relativeFrom="page">
            <wp:posOffset>2227263</wp:posOffset>
          </wp:positionV>
          <wp:extent cx="9115425" cy="4248150"/>
          <wp:effectExtent l="0" t="4762" r="4762" b="0"/>
          <wp:wrapNone/>
          <wp:docPr id="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fficeArt object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9115425" cy="4248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503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226E"/>
    <w:multiLevelType w:val="hybridMultilevel"/>
    <w:tmpl w:val="A3B4DD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63977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B51AE6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D04F75"/>
    <w:multiLevelType w:val="hybridMultilevel"/>
    <w:tmpl w:val="0112800E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97975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B135F"/>
    <w:multiLevelType w:val="hybridMultilevel"/>
    <w:tmpl w:val="91DE8F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76C3D"/>
    <w:multiLevelType w:val="hybridMultilevel"/>
    <w:tmpl w:val="1C484F2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C425A"/>
    <w:multiLevelType w:val="hybridMultilevel"/>
    <w:tmpl w:val="FFFFFFFF"/>
    <w:lvl w:ilvl="0" w:tplc="76728CA8">
      <w:start w:val="31"/>
      <w:numFmt w:val="bullet"/>
      <w:lvlText w:val="-"/>
      <w:lvlJc w:val="left"/>
      <w:pPr>
        <w:ind w:left="720" w:hanging="360"/>
      </w:pPr>
      <w:rPr>
        <w:rFonts w:ascii="Lato-Regular" w:eastAsia="Times New Roman" w:hAnsi="Lato-Regular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72B73"/>
    <w:multiLevelType w:val="hybridMultilevel"/>
    <w:tmpl w:val="4560DAAE"/>
    <w:lvl w:ilvl="0" w:tplc="F3220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427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6A9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2F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18F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B696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2A5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A66B1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EAAF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CB16B7"/>
    <w:multiLevelType w:val="hybridMultilevel"/>
    <w:tmpl w:val="5DE475C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86C13"/>
    <w:multiLevelType w:val="hybridMultilevel"/>
    <w:tmpl w:val="BF967FDC"/>
    <w:lvl w:ilvl="0" w:tplc="7A50E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520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287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909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50F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A1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45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DAE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E21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0659F2"/>
    <w:multiLevelType w:val="hybridMultilevel"/>
    <w:tmpl w:val="D9B69714"/>
    <w:lvl w:ilvl="0" w:tplc="041B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53386257"/>
    <w:multiLevelType w:val="multilevel"/>
    <w:tmpl w:val="F80C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65260"/>
    <w:multiLevelType w:val="hybridMultilevel"/>
    <w:tmpl w:val="C88C3842"/>
    <w:lvl w:ilvl="0" w:tplc="152CC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318F4"/>
    <w:multiLevelType w:val="hybridMultilevel"/>
    <w:tmpl w:val="EF0EAC5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72787"/>
    <w:multiLevelType w:val="hybridMultilevel"/>
    <w:tmpl w:val="FEF82508"/>
    <w:lvl w:ilvl="0" w:tplc="346A58F4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65675"/>
    <w:multiLevelType w:val="hybridMultilevel"/>
    <w:tmpl w:val="92CAC63C"/>
    <w:lvl w:ilvl="0" w:tplc="4C6AEE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F5AD0"/>
    <w:multiLevelType w:val="hybridMultilevel"/>
    <w:tmpl w:val="40B82B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079B0"/>
    <w:multiLevelType w:val="hybridMultilevel"/>
    <w:tmpl w:val="32425556"/>
    <w:lvl w:ilvl="0" w:tplc="4142DA6E">
      <w:start w:val="3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D4B8D"/>
    <w:multiLevelType w:val="hybridMultilevel"/>
    <w:tmpl w:val="6964883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55852"/>
    <w:multiLevelType w:val="hybridMultilevel"/>
    <w:tmpl w:val="B36A6AA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977919">
    <w:abstractNumId w:val="13"/>
  </w:num>
  <w:num w:numId="2" w16cid:durableId="427819167">
    <w:abstractNumId w:val="8"/>
  </w:num>
  <w:num w:numId="3" w16cid:durableId="89131823">
    <w:abstractNumId w:val="18"/>
  </w:num>
  <w:num w:numId="4" w16cid:durableId="1664161250">
    <w:abstractNumId w:val="15"/>
  </w:num>
  <w:num w:numId="5" w16cid:durableId="82074545">
    <w:abstractNumId w:val="20"/>
  </w:num>
  <w:num w:numId="6" w16cid:durableId="348026183">
    <w:abstractNumId w:val="1"/>
  </w:num>
  <w:num w:numId="7" w16cid:durableId="27611912">
    <w:abstractNumId w:val="2"/>
  </w:num>
  <w:num w:numId="8" w16cid:durableId="529223293">
    <w:abstractNumId w:val="4"/>
  </w:num>
  <w:num w:numId="9" w16cid:durableId="51773646">
    <w:abstractNumId w:val="3"/>
  </w:num>
  <w:num w:numId="10" w16cid:durableId="1914318076">
    <w:abstractNumId w:val="19"/>
  </w:num>
  <w:num w:numId="11" w16cid:durableId="164243564">
    <w:abstractNumId w:val="14"/>
  </w:num>
  <w:num w:numId="12" w16cid:durableId="226041171">
    <w:abstractNumId w:val="11"/>
  </w:num>
  <w:num w:numId="13" w16cid:durableId="213741372">
    <w:abstractNumId w:val="5"/>
  </w:num>
  <w:num w:numId="14" w16cid:durableId="1012412840">
    <w:abstractNumId w:val="9"/>
  </w:num>
  <w:num w:numId="15" w16cid:durableId="341515704">
    <w:abstractNumId w:val="10"/>
  </w:num>
  <w:num w:numId="16" w16cid:durableId="1098409479">
    <w:abstractNumId w:val="17"/>
  </w:num>
  <w:num w:numId="17" w16cid:durableId="918100497">
    <w:abstractNumId w:val="7"/>
  </w:num>
  <w:num w:numId="18" w16cid:durableId="310716135">
    <w:abstractNumId w:val="16"/>
  </w:num>
  <w:num w:numId="19" w16cid:durableId="1160195974">
    <w:abstractNumId w:val="0"/>
  </w:num>
  <w:num w:numId="20" w16cid:durableId="845636688">
    <w:abstractNumId w:val="6"/>
  </w:num>
  <w:num w:numId="21" w16cid:durableId="16127364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02"/>
    <w:rsid w:val="000052F6"/>
    <w:rsid w:val="000177FC"/>
    <w:rsid w:val="00020AE3"/>
    <w:rsid w:val="00022649"/>
    <w:rsid w:val="00023803"/>
    <w:rsid w:val="00024B32"/>
    <w:rsid w:val="00025A03"/>
    <w:rsid w:val="00027490"/>
    <w:rsid w:val="0002771A"/>
    <w:rsid w:val="00036443"/>
    <w:rsid w:val="000472A8"/>
    <w:rsid w:val="00050DA2"/>
    <w:rsid w:val="00050ED3"/>
    <w:rsid w:val="0005157F"/>
    <w:rsid w:val="00061AB8"/>
    <w:rsid w:val="00063E3F"/>
    <w:rsid w:val="00067AAC"/>
    <w:rsid w:val="00071E38"/>
    <w:rsid w:val="00074F05"/>
    <w:rsid w:val="000775BE"/>
    <w:rsid w:val="00077852"/>
    <w:rsid w:val="0008110A"/>
    <w:rsid w:val="0008356C"/>
    <w:rsid w:val="000877D8"/>
    <w:rsid w:val="000933BE"/>
    <w:rsid w:val="00095C4D"/>
    <w:rsid w:val="000A3261"/>
    <w:rsid w:val="000A68D4"/>
    <w:rsid w:val="000B1334"/>
    <w:rsid w:val="000B22F6"/>
    <w:rsid w:val="000C1BAF"/>
    <w:rsid w:val="000C2357"/>
    <w:rsid w:val="000C2AD9"/>
    <w:rsid w:val="000C67E3"/>
    <w:rsid w:val="000D24C4"/>
    <w:rsid w:val="000D5C39"/>
    <w:rsid w:val="000D6147"/>
    <w:rsid w:val="000D6B9E"/>
    <w:rsid w:val="000D6DEE"/>
    <w:rsid w:val="000D7628"/>
    <w:rsid w:val="000E0FBE"/>
    <w:rsid w:val="000E2EB4"/>
    <w:rsid w:val="000E34F5"/>
    <w:rsid w:val="000F21C9"/>
    <w:rsid w:val="000F3A51"/>
    <w:rsid w:val="000F4F9D"/>
    <w:rsid w:val="00101BA2"/>
    <w:rsid w:val="00103D22"/>
    <w:rsid w:val="00103E14"/>
    <w:rsid w:val="00107A78"/>
    <w:rsid w:val="001134F7"/>
    <w:rsid w:val="001149C1"/>
    <w:rsid w:val="00122856"/>
    <w:rsid w:val="001272B0"/>
    <w:rsid w:val="00130CE3"/>
    <w:rsid w:val="0013179A"/>
    <w:rsid w:val="00135B05"/>
    <w:rsid w:val="00143B51"/>
    <w:rsid w:val="00150ED5"/>
    <w:rsid w:val="00156AA0"/>
    <w:rsid w:val="001603CC"/>
    <w:rsid w:val="00164FB8"/>
    <w:rsid w:val="00174753"/>
    <w:rsid w:val="00175CED"/>
    <w:rsid w:val="0017631F"/>
    <w:rsid w:val="00176FE2"/>
    <w:rsid w:val="00177468"/>
    <w:rsid w:val="00181C71"/>
    <w:rsid w:val="00183A6A"/>
    <w:rsid w:val="001B04D2"/>
    <w:rsid w:val="001B37BE"/>
    <w:rsid w:val="001C24D1"/>
    <w:rsid w:val="001C67AD"/>
    <w:rsid w:val="001C72E9"/>
    <w:rsid w:val="001D08A0"/>
    <w:rsid w:val="001D16A2"/>
    <w:rsid w:val="001D1C6D"/>
    <w:rsid w:val="001D40D2"/>
    <w:rsid w:val="001D4438"/>
    <w:rsid w:val="001E0857"/>
    <w:rsid w:val="001E279B"/>
    <w:rsid w:val="00202CAE"/>
    <w:rsid w:val="00207B06"/>
    <w:rsid w:val="00222D32"/>
    <w:rsid w:val="00223A24"/>
    <w:rsid w:val="00225478"/>
    <w:rsid w:val="00230CDF"/>
    <w:rsid w:val="00233EF4"/>
    <w:rsid w:val="00234D0F"/>
    <w:rsid w:val="00235245"/>
    <w:rsid w:val="002376E4"/>
    <w:rsid w:val="00237863"/>
    <w:rsid w:val="00237AE8"/>
    <w:rsid w:val="002421E8"/>
    <w:rsid w:val="00242701"/>
    <w:rsid w:val="00243CCF"/>
    <w:rsid w:val="0024435A"/>
    <w:rsid w:val="00247137"/>
    <w:rsid w:val="0025310A"/>
    <w:rsid w:val="00265A5C"/>
    <w:rsid w:val="002908A5"/>
    <w:rsid w:val="0029165D"/>
    <w:rsid w:val="00293CCC"/>
    <w:rsid w:val="002A0361"/>
    <w:rsid w:val="002A1A5E"/>
    <w:rsid w:val="002B2DEA"/>
    <w:rsid w:val="002B7D9C"/>
    <w:rsid w:val="002C0A8A"/>
    <w:rsid w:val="002C7C2E"/>
    <w:rsid w:val="002D0B4A"/>
    <w:rsid w:val="002D3C77"/>
    <w:rsid w:val="002E3F80"/>
    <w:rsid w:val="002F0130"/>
    <w:rsid w:val="002F1E2A"/>
    <w:rsid w:val="002F49E3"/>
    <w:rsid w:val="002F58C1"/>
    <w:rsid w:val="002F6145"/>
    <w:rsid w:val="003010DB"/>
    <w:rsid w:val="00305B3C"/>
    <w:rsid w:val="003106A5"/>
    <w:rsid w:val="003108E7"/>
    <w:rsid w:val="00311E09"/>
    <w:rsid w:val="003156F4"/>
    <w:rsid w:val="00320C03"/>
    <w:rsid w:val="00323F81"/>
    <w:rsid w:val="0033197D"/>
    <w:rsid w:val="00332FDD"/>
    <w:rsid w:val="00340AD5"/>
    <w:rsid w:val="00341F77"/>
    <w:rsid w:val="00343174"/>
    <w:rsid w:val="003443A0"/>
    <w:rsid w:val="003453C4"/>
    <w:rsid w:val="00346E1A"/>
    <w:rsid w:val="0035216A"/>
    <w:rsid w:val="003548B6"/>
    <w:rsid w:val="003571E6"/>
    <w:rsid w:val="00361BC6"/>
    <w:rsid w:val="00362A5E"/>
    <w:rsid w:val="00364959"/>
    <w:rsid w:val="00366C77"/>
    <w:rsid w:val="00367F25"/>
    <w:rsid w:val="003727DB"/>
    <w:rsid w:val="00373473"/>
    <w:rsid w:val="00375AEA"/>
    <w:rsid w:val="00376BA9"/>
    <w:rsid w:val="00381929"/>
    <w:rsid w:val="00383DBA"/>
    <w:rsid w:val="00385AD5"/>
    <w:rsid w:val="0038707C"/>
    <w:rsid w:val="0039772C"/>
    <w:rsid w:val="003977AA"/>
    <w:rsid w:val="003978C9"/>
    <w:rsid w:val="003A16CA"/>
    <w:rsid w:val="003A4BB0"/>
    <w:rsid w:val="003B0BFC"/>
    <w:rsid w:val="003B116D"/>
    <w:rsid w:val="003B2B56"/>
    <w:rsid w:val="003B2E0D"/>
    <w:rsid w:val="003B7A78"/>
    <w:rsid w:val="003C4780"/>
    <w:rsid w:val="003D43CC"/>
    <w:rsid w:val="003D7489"/>
    <w:rsid w:val="003E2166"/>
    <w:rsid w:val="003E2E77"/>
    <w:rsid w:val="003F16B0"/>
    <w:rsid w:val="003F36CF"/>
    <w:rsid w:val="003F4000"/>
    <w:rsid w:val="003F550E"/>
    <w:rsid w:val="0040465D"/>
    <w:rsid w:val="004222F1"/>
    <w:rsid w:val="004355BD"/>
    <w:rsid w:val="00443B05"/>
    <w:rsid w:val="00443F51"/>
    <w:rsid w:val="00444BFD"/>
    <w:rsid w:val="0045003A"/>
    <w:rsid w:val="004501C6"/>
    <w:rsid w:val="00450B99"/>
    <w:rsid w:val="00451EF9"/>
    <w:rsid w:val="004628DA"/>
    <w:rsid w:val="00462ED4"/>
    <w:rsid w:val="004638A6"/>
    <w:rsid w:val="004650A4"/>
    <w:rsid w:val="004724AF"/>
    <w:rsid w:val="0047735C"/>
    <w:rsid w:val="00477D89"/>
    <w:rsid w:val="00484FD8"/>
    <w:rsid w:val="00486237"/>
    <w:rsid w:val="00490481"/>
    <w:rsid w:val="00491C4C"/>
    <w:rsid w:val="00493925"/>
    <w:rsid w:val="004A1C11"/>
    <w:rsid w:val="004C4AF9"/>
    <w:rsid w:val="004C72F2"/>
    <w:rsid w:val="004C7D76"/>
    <w:rsid w:val="004D6C0D"/>
    <w:rsid w:val="004E0210"/>
    <w:rsid w:val="004E10AF"/>
    <w:rsid w:val="004E1190"/>
    <w:rsid w:val="004E195C"/>
    <w:rsid w:val="004E33AB"/>
    <w:rsid w:val="004E5131"/>
    <w:rsid w:val="004F32CD"/>
    <w:rsid w:val="005077B2"/>
    <w:rsid w:val="00510EDC"/>
    <w:rsid w:val="00513CA1"/>
    <w:rsid w:val="005148A9"/>
    <w:rsid w:val="00515175"/>
    <w:rsid w:val="00525C61"/>
    <w:rsid w:val="00527551"/>
    <w:rsid w:val="0053451B"/>
    <w:rsid w:val="00536999"/>
    <w:rsid w:val="00537A6D"/>
    <w:rsid w:val="00544A90"/>
    <w:rsid w:val="0054597B"/>
    <w:rsid w:val="00545B07"/>
    <w:rsid w:val="00551094"/>
    <w:rsid w:val="005516D2"/>
    <w:rsid w:val="00560B98"/>
    <w:rsid w:val="005648B9"/>
    <w:rsid w:val="005673C4"/>
    <w:rsid w:val="00571677"/>
    <w:rsid w:val="0058020D"/>
    <w:rsid w:val="005871AF"/>
    <w:rsid w:val="005973FB"/>
    <w:rsid w:val="00597EA2"/>
    <w:rsid w:val="005A4D2C"/>
    <w:rsid w:val="005A503D"/>
    <w:rsid w:val="005A667C"/>
    <w:rsid w:val="005A7CCB"/>
    <w:rsid w:val="005A7F40"/>
    <w:rsid w:val="005B1713"/>
    <w:rsid w:val="005B1C32"/>
    <w:rsid w:val="005B4EDA"/>
    <w:rsid w:val="005B59D8"/>
    <w:rsid w:val="005C1E2A"/>
    <w:rsid w:val="005C1FAF"/>
    <w:rsid w:val="005C3D5D"/>
    <w:rsid w:val="005C6DF7"/>
    <w:rsid w:val="005C7922"/>
    <w:rsid w:val="005C7A8C"/>
    <w:rsid w:val="005D6233"/>
    <w:rsid w:val="005E5ECE"/>
    <w:rsid w:val="005F68A1"/>
    <w:rsid w:val="005F7A71"/>
    <w:rsid w:val="00604BCC"/>
    <w:rsid w:val="00606609"/>
    <w:rsid w:val="00606D77"/>
    <w:rsid w:val="00613F83"/>
    <w:rsid w:val="006168CB"/>
    <w:rsid w:val="00620409"/>
    <w:rsid w:val="006237EE"/>
    <w:rsid w:val="00626951"/>
    <w:rsid w:val="00631674"/>
    <w:rsid w:val="006350A6"/>
    <w:rsid w:val="00636F01"/>
    <w:rsid w:val="00637BD8"/>
    <w:rsid w:val="00637D74"/>
    <w:rsid w:val="00642151"/>
    <w:rsid w:val="00660421"/>
    <w:rsid w:val="006649B0"/>
    <w:rsid w:val="00665308"/>
    <w:rsid w:val="0066582D"/>
    <w:rsid w:val="00671557"/>
    <w:rsid w:val="00677641"/>
    <w:rsid w:val="00691E2B"/>
    <w:rsid w:val="00693178"/>
    <w:rsid w:val="00697AF6"/>
    <w:rsid w:val="006A724C"/>
    <w:rsid w:val="006A747F"/>
    <w:rsid w:val="006B03A7"/>
    <w:rsid w:val="006B1AA2"/>
    <w:rsid w:val="006B564E"/>
    <w:rsid w:val="006C0012"/>
    <w:rsid w:val="006C6BFE"/>
    <w:rsid w:val="006D04D6"/>
    <w:rsid w:val="006D0D34"/>
    <w:rsid w:val="006D0EDD"/>
    <w:rsid w:val="006D1E36"/>
    <w:rsid w:val="006D4B6F"/>
    <w:rsid w:val="006E3B5A"/>
    <w:rsid w:val="006E4F21"/>
    <w:rsid w:val="006E728F"/>
    <w:rsid w:val="006F1856"/>
    <w:rsid w:val="006F7A3E"/>
    <w:rsid w:val="007016D1"/>
    <w:rsid w:val="007022BE"/>
    <w:rsid w:val="00702B43"/>
    <w:rsid w:val="00704A9F"/>
    <w:rsid w:val="00705B85"/>
    <w:rsid w:val="0070670B"/>
    <w:rsid w:val="007067AF"/>
    <w:rsid w:val="007115FD"/>
    <w:rsid w:val="00713917"/>
    <w:rsid w:val="00716354"/>
    <w:rsid w:val="007165AB"/>
    <w:rsid w:val="00724BB2"/>
    <w:rsid w:val="007324D4"/>
    <w:rsid w:val="00736902"/>
    <w:rsid w:val="00750126"/>
    <w:rsid w:val="00751EC7"/>
    <w:rsid w:val="00762936"/>
    <w:rsid w:val="00762E0C"/>
    <w:rsid w:val="00765955"/>
    <w:rsid w:val="00776BB8"/>
    <w:rsid w:val="007812B4"/>
    <w:rsid w:val="007931BA"/>
    <w:rsid w:val="0079424A"/>
    <w:rsid w:val="007A7247"/>
    <w:rsid w:val="007B4345"/>
    <w:rsid w:val="007B775B"/>
    <w:rsid w:val="007C2582"/>
    <w:rsid w:val="007C2A45"/>
    <w:rsid w:val="007D137E"/>
    <w:rsid w:val="007D6DC2"/>
    <w:rsid w:val="007E1307"/>
    <w:rsid w:val="007E386F"/>
    <w:rsid w:val="007E5954"/>
    <w:rsid w:val="007E5B29"/>
    <w:rsid w:val="007F3FC3"/>
    <w:rsid w:val="007F5CFE"/>
    <w:rsid w:val="0080309E"/>
    <w:rsid w:val="00805D9E"/>
    <w:rsid w:val="00810F16"/>
    <w:rsid w:val="00811488"/>
    <w:rsid w:val="00812511"/>
    <w:rsid w:val="00813939"/>
    <w:rsid w:val="008207E5"/>
    <w:rsid w:val="00822938"/>
    <w:rsid w:val="00823170"/>
    <w:rsid w:val="00826E6C"/>
    <w:rsid w:val="008279A6"/>
    <w:rsid w:val="008421DD"/>
    <w:rsid w:val="00846E83"/>
    <w:rsid w:val="00855D40"/>
    <w:rsid w:val="00856435"/>
    <w:rsid w:val="00856A8E"/>
    <w:rsid w:val="00861070"/>
    <w:rsid w:val="00871A5F"/>
    <w:rsid w:val="00873B18"/>
    <w:rsid w:val="00874DD3"/>
    <w:rsid w:val="008800C1"/>
    <w:rsid w:val="008823DC"/>
    <w:rsid w:val="00883B51"/>
    <w:rsid w:val="00885703"/>
    <w:rsid w:val="00886F3C"/>
    <w:rsid w:val="00890CCB"/>
    <w:rsid w:val="00897F03"/>
    <w:rsid w:val="008A7927"/>
    <w:rsid w:val="008B31A7"/>
    <w:rsid w:val="008B6DBD"/>
    <w:rsid w:val="008C0337"/>
    <w:rsid w:val="008C08A7"/>
    <w:rsid w:val="008D5B54"/>
    <w:rsid w:val="008D73FC"/>
    <w:rsid w:val="008E0F10"/>
    <w:rsid w:val="008E3106"/>
    <w:rsid w:val="008E3E06"/>
    <w:rsid w:val="008E513D"/>
    <w:rsid w:val="008E6119"/>
    <w:rsid w:val="008E6756"/>
    <w:rsid w:val="008F1135"/>
    <w:rsid w:val="008F1D89"/>
    <w:rsid w:val="008F1ECD"/>
    <w:rsid w:val="008F229B"/>
    <w:rsid w:val="008F357D"/>
    <w:rsid w:val="008F361B"/>
    <w:rsid w:val="008F7D35"/>
    <w:rsid w:val="009005B0"/>
    <w:rsid w:val="009025E7"/>
    <w:rsid w:val="00911251"/>
    <w:rsid w:val="00913DFE"/>
    <w:rsid w:val="00913E2F"/>
    <w:rsid w:val="00915A16"/>
    <w:rsid w:val="009217E3"/>
    <w:rsid w:val="00935508"/>
    <w:rsid w:val="00935F91"/>
    <w:rsid w:val="00941C2A"/>
    <w:rsid w:val="009424A2"/>
    <w:rsid w:val="00943B97"/>
    <w:rsid w:val="00946F97"/>
    <w:rsid w:val="00957262"/>
    <w:rsid w:val="0097672F"/>
    <w:rsid w:val="009916CB"/>
    <w:rsid w:val="00991E95"/>
    <w:rsid w:val="00992B6B"/>
    <w:rsid w:val="00995C61"/>
    <w:rsid w:val="009A031C"/>
    <w:rsid w:val="009A0E2B"/>
    <w:rsid w:val="009A33F4"/>
    <w:rsid w:val="009A583A"/>
    <w:rsid w:val="009C4A1C"/>
    <w:rsid w:val="009D7FA9"/>
    <w:rsid w:val="009E35FC"/>
    <w:rsid w:val="009E427F"/>
    <w:rsid w:val="009E77A9"/>
    <w:rsid w:val="009F1DE6"/>
    <w:rsid w:val="009F25A8"/>
    <w:rsid w:val="009F2726"/>
    <w:rsid w:val="009F6BC7"/>
    <w:rsid w:val="00A02AE1"/>
    <w:rsid w:val="00A03D4A"/>
    <w:rsid w:val="00A04CD8"/>
    <w:rsid w:val="00A05FF2"/>
    <w:rsid w:val="00A13D4B"/>
    <w:rsid w:val="00A14213"/>
    <w:rsid w:val="00A165AC"/>
    <w:rsid w:val="00A31756"/>
    <w:rsid w:val="00A364CC"/>
    <w:rsid w:val="00A41D3F"/>
    <w:rsid w:val="00A4259F"/>
    <w:rsid w:val="00A53200"/>
    <w:rsid w:val="00A62227"/>
    <w:rsid w:val="00A6253F"/>
    <w:rsid w:val="00A6646D"/>
    <w:rsid w:val="00A676DD"/>
    <w:rsid w:val="00A7559B"/>
    <w:rsid w:val="00A766C8"/>
    <w:rsid w:val="00A86EB5"/>
    <w:rsid w:val="00A917BD"/>
    <w:rsid w:val="00A9490D"/>
    <w:rsid w:val="00A94EA0"/>
    <w:rsid w:val="00AA61C4"/>
    <w:rsid w:val="00AA6A58"/>
    <w:rsid w:val="00AB014E"/>
    <w:rsid w:val="00AB58E8"/>
    <w:rsid w:val="00AC2602"/>
    <w:rsid w:val="00AC3999"/>
    <w:rsid w:val="00AC6795"/>
    <w:rsid w:val="00AD5C12"/>
    <w:rsid w:val="00AD676C"/>
    <w:rsid w:val="00AE266A"/>
    <w:rsid w:val="00AF2556"/>
    <w:rsid w:val="00B06222"/>
    <w:rsid w:val="00B12E78"/>
    <w:rsid w:val="00B151EA"/>
    <w:rsid w:val="00B16508"/>
    <w:rsid w:val="00B21D28"/>
    <w:rsid w:val="00B27630"/>
    <w:rsid w:val="00B32A71"/>
    <w:rsid w:val="00B40013"/>
    <w:rsid w:val="00B40803"/>
    <w:rsid w:val="00B45447"/>
    <w:rsid w:val="00B45455"/>
    <w:rsid w:val="00B454C9"/>
    <w:rsid w:val="00B507F6"/>
    <w:rsid w:val="00B508CF"/>
    <w:rsid w:val="00B51F0B"/>
    <w:rsid w:val="00B53435"/>
    <w:rsid w:val="00B54F14"/>
    <w:rsid w:val="00B65051"/>
    <w:rsid w:val="00B66644"/>
    <w:rsid w:val="00B8451A"/>
    <w:rsid w:val="00B86154"/>
    <w:rsid w:val="00B8661B"/>
    <w:rsid w:val="00B86A8C"/>
    <w:rsid w:val="00B90920"/>
    <w:rsid w:val="00B91422"/>
    <w:rsid w:val="00B933D2"/>
    <w:rsid w:val="00B94384"/>
    <w:rsid w:val="00BA3102"/>
    <w:rsid w:val="00BA7136"/>
    <w:rsid w:val="00BB05F8"/>
    <w:rsid w:val="00BB5A97"/>
    <w:rsid w:val="00BC42AC"/>
    <w:rsid w:val="00BD0190"/>
    <w:rsid w:val="00BD0356"/>
    <w:rsid w:val="00BD0B47"/>
    <w:rsid w:val="00BE080B"/>
    <w:rsid w:val="00BF002E"/>
    <w:rsid w:val="00BF0818"/>
    <w:rsid w:val="00BF0D08"/>
    <w:rsid w:val="00C02876"/>
    <w:rsid w:val="00C052ED"/>
    <w:rsid w:val="00C066DF"/>
    <w:rsid w:val="00C10C27"/>
    <w:rsid w:val="00C10D19"/>
    <w:rsid w:val="00C11780"/>
    <w:rsid w:val="00C17135"/>
    <w:rsid w:val="00C17D75"/>
    <w:rsid w:val="00C23866"/>
    <w:rsid w:val="00C26906"/>
    <w:rsid w:val="00C33191"/>
    <w:rsid w:val="00C33376"/>
    <w:rsid w:val="00C34049"/>
    <w:rsid w:val="00C370D7"/>
    <w:rsid w:val="00C40F83"/>
    <w:rsid w:val="00C46F3F"/>
    <w:rsid w:val="00C56307"/>
    <w:rsid w:val="00C6374D"/>
    <w:rsid w:val="00C65C70"/>
    <w:rsid w:val="00C754D7"/>
    <w:rsid w:val="00C76303"/>
    <w:rsid w:val="00C765BC"/>
    <w:rsid w:val="00C80A01"/>
    <w:rsid w:val="00C85FA4"/>
    <w:rsid w:val="00C86E4A"/>
    <w:rsid w:val="00C922C0"/>
    <w:rsid w:val="00CA3EC5"/>
    <w:rsid w:val="00CB1177"/>
    <w:rsid w:val="00CB1DF3"/>
    <w:rsid w:val="00CB5221"/>
    <w:rsid w:val="00CC72A0"/>
    <w:rsid w:val="00CC7888"/>
    <w:rsid w:val="00CC7CE4"/>
    <w:rsid w:val="00CD5B2A"/>
    <w:rsid w:val="00CE47B9"/>
    <w:rsid w:val="00CF3278"/>
    <w:rsid w:val="00CF32C3"/>
    <w:rsid w:val="00CF39AB"/>
    <w:rsid w:val="00D01B21"/>
    <w:rsid w:val="00D06FFC"/>
    <w:rsid w:val="00D079DF"/>
    <w:rsid w:val="00D10855"/>
    <w:rsid w:val="00D12D85"/>
    <w:rsid w:val="00D276C6"/>
    <w:rsid w:val="00D30A15"/>
    <w:rsid w:val="00D4119C"/>
    <w:rsid w:val="00D42544"/>
    <w:rsid w:val="00D43DEB"/>
    <w:rsid w:val="00D460E5"/>
    <w:rsid w:val="00D566C5"/>
    <w:rsid w:val="00D6009E"/>
    <w:rsid w:val="00D63037"/>
    <w:rsid w:val="00D64D5C"/>
    <w:rsid w:val="00D70027"/>
    <w:rsid w:val="00D708F0"/>
    <w:rsid w:val="00D71B34"/>
    <w:rsid w:val="00D74142"/>
    <w:rsid w:val="00D839E6"/>
    <w:rsid w:val="00D849EC"/>
    <w:rsid w:val="00D8684D"/>
    <w:rsid w:val="00D937FB"/>
    <w:rsid w:val="00D94518"/>
    <w:rsid w:val="00D97487"/>
    <w:rsid w:val="00DA064E"/>
    <w:rsid w:val="00DA1BC9"/>
    <w:rsid w:val="00DA4DC0"/>
    <w:rsid w:val="00DA7C90"/>
    <w:rsid w:val="00DB180F"/>
    <w:rsid w:val="00DB1B60"/>
    <w:rsid w:val="00DB2670"/>
    <w:rsid w:val="00DB709B"/>
    <w:rsid w:val="00DB74B3"/>
    <w:rsid w:val="00DC12B1"/>
    <w:rsid w:val="00DC2692"/>
    <w:rsid w:val="00DC2A0C"/>
    <w:rsid w:val="00DC30DB"/>
    <w:rsid w:val="00DC30E3"/>
    <w:rsid w:val="00DD25C2"/>
    <w:rsid w:val="00DD3B48"/>
    <w:rsid w:val="00DD70F4"/>
    <w:rsid w:val="00DD7307"/>
    <w:rsid w:val="00DE0956"/>
    <w:rsid w:val="00DE222F"/>
    <w:rsid w:val="00DE2905"/>
    <w:rsid w:val="00DE3E4F"/>
    <w:rsid w:val="00DE5BB7"/>
    <w:rsid w:val="00DE6BEC"/>
    <w:rsid w:val="00DE775E"/>
    <w:rsid w:val="00DF5238"/>
    <w:rsid w:val="00E00120"/>
    <w:rsid w:val="00E0342E"/>
    <w:rsid w:val="00E03E9F"/>
    <w:rsid w:val="00E121EE"/>
    <w:rsid w:val="00E145B8"/>
    <w:rsid w:val="00E27684"/>
    <w:rsid w:val="00E32FD5"/>
    <w:rsid w:val="00E35CE3"/>
    <w:rsid w:val="00E40687"/>
    <w:rsid w:val="00E414F1"/>
    <w:rsid w:val="00E45900"/>
    <w:rsid w:val="00E56A90"/>
    <w:rsid w:val="00E6264B"/>
    <w:rsid w:val="00E65C34"/>
    <w:rsid w:val="00E65CF1"/>
    <w:rsid w:val="00E6711C"/>
    <w:rsid w:val="00E725AD"/>
    <w:rsid w:val="00E75289"/>
    <w:rsid w:val="00E76B99"/>
    <w:rsid w:val="00E82E68"/>
    <w:rsid w:val="00E870F2"/>
    <w:rsid w:val="00E90895"/>
    <w:rsid w:val="00E9722E"/>
    <w:rsid w:val="00EB3D34"/>
    <w:rsid w:val="00EB4833"/>
    <w:rsid w:val="00EB4BCB"/>
    <w:rsid w:val="00EB6251"/>
    <w:rsid w:val="00EC2D07"/>
    <w:rsid w:val="00EC785B"/>
    <w:rsid w:val="00ED0255"/>
    <w:rsid w:val="00ED22DB"/>
    <w:rsid w:val="00ED4261"/>
    <w:rsid w:val="00ED77A1"/>
    <w:rsid w:val="00EE01F8"/>
    <w:rsid w:val="00EE1C15"/>
    <w:rsid w:val="00EE3D78"/>
    <w:rsid w:val="00EF0B09"/>
    <w:rsid w:val="00EF2A90"/>
    <w:rsid w:val="00EF67D6"/>
    <w:rsid w:val="00F058AE"/>
    <w:rsid w:val="00F10394"/>
    <w:rsid w:val="00F111B6"/>
    <w:rsid w:val="00F11EF5"/>
    <w:rsid w:val="00F17625"/>
    <w:rsid w:val="00F22D2B"/>
    <w:rsid w:val="00F27489"/>
    <w:rsid w:val="00F30373"/>
    <w:rsid w:val="00F328E0"/>
    <w:rsid w:val="00F331A3"/>
    <w:rsid w:val="00F40701"/>
    <w:rsid w:val="00F40C9C"/>
    <w:rsid w:val="00F41A67"/>
    <w:rsid w:val="00F42DA4"/>
    <w:rsid w:val="00F46C11"/>
    <w:rsid w:val="00F50838"/>
    <w:rsid w:val="00F570D3"/>
    <w:rsid w:val="00F615FE"/>
    <w:rsid w:val="00F61747"/>
    <w:rsid w:val="00F63927"/>
    <w:rsid w:val="00F64E04"/>
    <w:rsid w:val="00F770BE"/>
    <w:rsid w:val="00F77635"/>
    <w:rsid w:val="00F868DA"/>
    <w:rsid w:val="00F90C91"/>
    <w:rsid w:val="00F91CEC"/>
    <w:rsid w:val="00F9420C"/>
    <w:rsid w:val="00F965CF"/>
    <w:rsid w:val="00F9751F"/>
    <w:rsid w:val="00FA37EC"/>
    <w:rsid w:val="00FB014F"/>
    <w:rsid w:val="00FB07E7"/>
    <w:rsid w:val="00FB5BF7"/>
    <w:rsid w:val="00FC1A33"/>
    <w:rsid w:val="00FC6328"/>
    <w:rsid w:val="00FC6A1D"/>
    <w:rsid w:val="00FC7076"/>
    <w:rsid w:val="00FD7D9A"/>
    <w:rsid w:val="00FF08F8"/>
    <w:rsid w:val="00FF5D95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E12F0"/>
  <w15:docId w15:val="{D4A029CE-B1F3-4D77-9B2C-E36B31B7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16D1"/>
    <w:rPr>
      <w:rFonts w:eastAsia="Times New Roman" w:cs="Mangal"/>
      <w:kern w:val="2"/>
      <w:lang w:val="sk-SK"/>
    </w:rPr>
  </w:style>
  <w:style w:type="paragraph" w:styleId="Nadpis1">
    <w:name w:val="heading 1"/>
    <w:basedOn w:val="Normlny"/>
    <w:link w:val="Nadpis1Char"/>
    <w:uiPriority w:val="9"/>
    <w:qFormat/>
    <w:rsid w:val="000F21C9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A3102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kern w:val="0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rsid w:val="00BA3102"/>
  </w:style>
  <w:style w:type="paragraph" w:styleId="Pta">
    <w:name w:val="footer"/>
    <w:basedOn w:val="Normlny"/>
    <w:link w:val="PtaChar"/>
    <w:uiPriority w:val="99"/>
    <w:unhideWhenUsed/>
    <w:rsid w:val="00BA3102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kern w:val="0"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BA3102"/>
  </w:style>
  <w:style w:type="character" w:styleId="Hypertextovprepojenie">
    <w:name w:val="Hyperlink"/>
    <w:basedOn w:val="Predvolenpsmoodseku"/>
    <w:uiPriority w:val="99"/>
    <w:unhideWhenUsed/>
    <w:rsid w:val="00F50838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F21C9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Bezriadkovania">
    <w:name w:val="No Spacing"/>
    <w:uiPriority w:val="1"/>
    <w:qFormat/>
    <w:rsid w:val="000F21C9"/>
    <w:pPr>
      <w:spacing w:after="0" w:line="240" w:lineRule="auto"/>
    </w:pPr>
    <w:rPr>
      <w:lang w:val="en-GB"/>
    </w:rPr>
  </w:style>
  <w:style w:type="character" w:customStyle="1" w:styleId="q4iawc">
    <w:name w:val="q4iawc"/>
    <w:basedOn w:val="Predvolenpsmoodseku"/>
    <w:rsid w:val="00F90C91"/>
  </w:style>
  <w:style w:type="paragraph" w:styleId="Odsekzoznamu">
    <w:name w:val="List Paragraph"/>
    <w:basedOn w:val="Normlny"/>
    <w:uiPriority w:val="34"/>
    <w:qFormat/>
    <w:rsid w:val="001E0857"/>
    <w:pPr>
      <w:spacing w:after="0" w:line="240" w:lineRule="auto"/>
      <w:ind w:left="720"/>
      <w:contextualSpacing/>
    </w:pPr>
    <w:rPr>
      <w:rFonts w:ascii="Calibri" w:eastAsiaTheme="minorHAnsi" w:hAnsi="Calibri" w:cs="Calibri"/>
      <w:kern w:val="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27684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04C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04CD8"/>
    <w:pPr>
      <w:spacing w:line="240" w:lineRule="auto"/>
    </w:pPr>
    <w:rPr>
      <w:rFonts w:eastAsiaTheme="minorHAnsi" w:cstheme="minorBidi"/>
      <w:kern w:val="0"/>
      <w:sz w:val="20"/>
      <w:szCs w:val="20"/>
      <w:lang w:val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04CD8"/>
    <w:rPr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4C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4CD8"/>
    <w:rPr>
      <w:b/>
      <w:bCs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4CD8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4CD8"/>
    <w:rPr>
      <w:rFonts w:ascii="Segoe UI" w:hAnsi="Segoe UI" w:cs="Segoe UI"/>
      <w:sz w:val="18"/>
      <w:szCs w:val="18"/>
      <w:lang w:val="en-GB"/>
    </w:rPr>
  </w:style>
  <w:style w:type="character" w:styleId="Vrazn">
    <w:name w:val="Strong"/>
    <w:basedOn w:val="Predvolenpsmoodseku"/>
    <w:uiPriority w:val="22"/>
    <w:qFormat/>
    <w:rsid w:val="00FB07E7"/>
    <w:rPr>
      <w:b/>
      <w:bCs/>
    </w:rPr>
  </w:style>
  <w:style w:type="character" w:customStyle="1" w:styleId="article-hl">
    <w:name w:val="article-hl"/>
    <w:basedOn w:val="Predvolenpsmoodseku"/>
    <w:rsid w:val="00874DD3"/>
  </w:style>
  <w:style w:type="table" w:styleId="Mriekatabuky">
    <w:name w:val="Table Grid"/>
    <w:basedOn w:val="Normlnatabuka"/>
    <w:uiPriority w:val="39"/>
    <w:rsid w:val="000C67E3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0877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4E0210"/>
    <w:pPr>
      <w:spacing w:after="0" w:line="240" w:lineRule="auto"/>
    </w:pPr>
    <w:rPr>
      <w:lang w:val="en-GB"/>
    </w:rPr>
  </w:style>
  <w:style w:type="character" w:customStyle="1" w:styleId="rynqvb">
    <w:name w:val="rynqvb"/>
    <w:basedOn w:val="Predvolenpsmoodseku"/>
    <w:rsid w:val="0047735C"/>
  </w:style>
  <w:style w:type="character" w:customStyle="1" w:styleId="hwtze">
    <w:name w:val="hwtze"/>
    <w:basedOn w:val="Predvolenpsmoodseku"/>
    <w:rsid w:val="0047735C"/>
  </w:style>
  <w:style w:type="paragraph" w:customStyle="1" w:styleId="Pa6">
    <w:name w:val="Pa6"/>
    <w:basedOn w:val="Normlny"/>
    <w:next w:val="Normlny"/>
    <w:uiPriority w:val="99"/>
    <w:rsid w:val="00450B99"/>
    <w:pPr>
      <w:autoSpaceDE w:val="0"/>
      <w:autoSpaceDN w:val="0"/>
      <w:adjustRightInd w:val="0"/>
      <w:spacing w:after="0" w:line="171" w:lineRule="atLeast"/>
    </w:pPr>
    <w:rPr>
      <w:rFonts w:ascii="Open Sans Light" w:eastAsiaTheme="minorHAnsi" w:hAnsi="Open Sans Light" w:cstheme="minorBidi"/>
      <w:kern w:val="0"/>
      <w:sz w:val="24"/>
      <w:szCs w:val="24"/>
    </w:rPr>
  </w:style>
  <w:style w:type="character" w:customStyle="1" w:styleId="hgkelc">
    <w:name w:val="hgkelc"/>
    <w:basedOn w:val="Predvolenpsmoodseku"/>
    <w:rsid w:val="00810F16"/>
  </w:style>
  <w:style w:type="character" w:customStyle="1" w:styleId="A14">
    <w:name w:val="A14"/>
    <w:uiPriority w:val="99"/>
    <w:rsid w:val="00C10D19"/>
    <w:rPr>
      <w:b/>
      <w:color w:val="00B3CC"/>
      <w:sz w:val="48"/>
    </w:rPr>
  </w:style>
  <w:style w:type="character" w:customStyle="1" w:styleId="A6">
    <w:name w:val="A6"/>
    <w:uiPriority w:val="99"/>
    <w:rsid w:val="00C10D19"/>
    <w:rPr>
      <w:b/>
      <w:color w:val="000000"/>
      <w:sz w:val="30"/>
    </w:rPr>
  </w:style>
  <w:style w:type="paragraph" w:customStyle="1" w:styleId="Pa3">
    <w:name w:val="Pa3"/>
    <w:basedOn w:val="Normlny"/>
    <w:next w:val="Normlny"/>
    <w:uiPriority w:val="99"/>
    <w:rsid w:val="00C10D19"/>
    <w:pPr>
      <w:autoSpaceDE w:val="0"/>
      <w:autoSpaceDN w:val="0"/>
      <w:adjustRightInd w:val="0"/>
      <w:spacing w:after="0" w:line="241" w:lineRule="atLeast"/>
    </w:pPr>
    <w:rPr>
      <w:rFonts w:ascii="Lato" w:hAnsi="Lato"/>
      <w:kern w:val="0"/>
      <w:sz w:val="24"/>
      <w:szCs w:val="24"/>
    </w:rPr>
  </w:style>
  <w:style w:type="character" w:customStyle="1" w:styleId="A15">
    <w:name w:val="A15"/>
    <w:uiPriority w:val="99"/>
    <w:rsid w:val="00C10D19"/>
    <w:rPr>
      <w:b/>
      <w:color w:val="000000"/>
      <w:sz w:val="28"/>
    </w:rPr>
  </w:style>
  <w:style w:type="character" w:customStyle="1" w:styleId="A10">
    <w:name w:val="A10"/>
    <w:uiPriority w:val="99"/>
    <w:rsid w:val="00C10D19"/>
    <w:rPr>
      <w:color w:val="565555"/>
      <w:sz w:val="22"/>
    </w:rPr>
  </w:style>
  <w:style w:type="paragraph" w:customStyle="1" w:styleId="Pa1">
    <w:name w:val="Pa1"/>
    <w:basedOn w:val="Normlny"/>
    <w:next w:val="Normlny"/>
    <w:uiPriority w:val="99"/>
    <w:rsid w:val="00C10D19"/>
    <w:pPr>
      <w:autoSpaceDE w:val="0"/>
      <w:autoSpaceDN w:val="0"/>
      <w:adjustRightInd w:val="0"/>
      <w:spacing w:after="0" w:line="241" w:lineRule="atLeast"/>
    </w:pPr>
    <w:rPr>
      <w:rFonts w:ascii="Lato" w:hAnsi="Lato"/>
      <w:kern w:val="0"/>
      <w:sz w:val="24"/>
      <w:szCs w:val="24"/>
    </w:rPr>
  </w:style>
  <w:style w:type="character" w:customStyle="1" w:styleId="A8">
    <w:name w:val="A8"/>
    <w:uiPriority w:val="99"/>
    <w:rsid w:val="00C10D19"/>
    <w:rPr>
      <w:b/>
      <w:color w:val="3658A5"/>
      <w:sz w:val="47"/>
    </w:rPr>
  </w:style>
  <w:style w:type="character" w:customStyle="1" w:styleId="A24">
    <w:name w:val="A24"/>
    <w:uiPriority w:val="99"/>
    <w:rsid w:val="00C10D19"/>
    <w:rPr>
      <w:color w:val="000000"/>
      <w:sz w:val="16"/>
    </w:rPr>
  </w:style>
  <w:style w:type="character" w:customStyle="1" w:styleId="A9">
    <w:name w:val="A9"/>
    <w:uiPriority w:val="99"/>
    <w:rsid w:val="00C10D19"/>
    <w:rPr>
      <w:color w:val="00B3CC"/>
      <w:sz w:val="19"/>
    </w:rPr>
  </w:style>
  <w:style w:type="character" w:customStyle="1" w:styleId="A11">
    <w:name w:val="A11"/>
    <w:uiPriority w:val="99"/>
    <w:rsid w:val="00C10D19"/>
    <w:rPr>
      <w:color w:val="565555"/>
      <w:sz w:val="18"/>
    </w:rPr>
  </w:style>
  <w:style w:type="paragraph" w:customStyle="1" w:styleId="Default">
    <w:name w:val="Default"/>
    <w:rsid w:val="00C10D19"/>
    <w:pPr>
      <w:autoSpaceDE w:val="0"/>
      <w:autoSpaceDN w:val="0"/>
      <w:adjustRightInd w:val="0"/>
      <w:spacing w:after="0" w:line="240" w:lineRule="auto"/>
    </w:pPr>
    <w:rPr>
      <w:rFonts w:ascii="Lato" w:eastAsia="Times New Roman" w:hAnsi="Lato" w:cs="Lato"/>
      <w:color w:val="000000"/>
      <w:sz w:val="24"/>
      <w:szCs w:val="24"/>
      <w:lang w:val="sk-SK"/>
    </w:rPr>
  </w:style>
  <w:style w:type="character" w:customStyle="1" w:styleId="A22">
    <w:name w:val="A22"/>
    <w:uiPriority w:val="99"/>
    <w:rsid w:val="00BF0D08"/>
    <w:rPr>
      <w:color w:val="000000"/>
      <w:sz w:val="22"/>
    </w:rPr>
  </w:style>
  <w:style w:type="character" w:customStyle="1" w:styleId="A23">
    <w:name w:val="A23"/>
    <w:uiPriority w:val="99"/>
    <w:rsid w:val="00BF0D08"/>
    <w:rPr>
      <w:b/>
      <w:color w:val="3658A5"/>
      <w:sz w:val="30"/>
    </w:rPr>
  </w:style>
  <w:style w:type="character" w:customStyle="1" w:styleId="A25">
    <w:name w:val="A25"/>
    <w:uiPriority w:val="99"/>
    <w:rsid w:val="00BF0D08"/>
    <w:rPr>
      <w:b/>
      <w:color w:val="092253"/>
      <w:sz w:val="26"/>
    </w:rPr>
  </w:style>
  <w:style w:type="character" w:customStyle="1" w:styleId="A5">
    <w:name w:val="A5"/>
    <w:uiPriority w:val="99"/>
    <w:rsid w:val="00BF0D08"/>
    <w:rPr>
      <w:b/>
      <w:color w:val="092253"/>
      <w:sz w:val="20"/>
    </w:rPr>
  </w:style>
  <w:style w:type="character" w:customStyle="1" w:styleId="A27">
    <w:name w:val="A27"/>
    <w:uiPriority w:val="99"/>
    <w:rsid w:val="00BF0D08"/>
    <w:rPr>
      <w:b/>
      <w:color w:val="000000"/>
      <w:sz w:val="22"/>
    </w:rPr>
  </w:style>
  <w:style w:type="character" w:customStyle="1" w:styleId="A13">
    <w:name w:val="A13"/>
    <w:uiPriority w:val="99"/>
    <w:rsid w:val="00BF0D08"/>
    <w:rPr>
      <w:b/>
      <w:color w:val="00B3CC"/>
      <w:sz w:val="102"/>
    </w:rPr>
  </w:style>
  <w:style w:type="character" w:customStyle="1" w:styleId="m-7847507841946012762gmail-a10">
    <w:name w:val="m_-7847507841946012762gmail-a10"/>
    <w:basedOn w:val="Predvolenpsmoodseku"/>
    <w:rsid w:val="00AB58E8"/>
    <w:rPr>
      <w:rFonts w:cs="Times New Roman"/>
    </w:rPr>
  </w:style>
  <w:style w:type="character" w:styleId="Zvraznenie">
    <w:name w:val="Emphasis"/>
    <w:basedOn w:val="Predvolenpsmoodseku"/>
    <w:uiPriority w:val="20"/>
    <w:qFormat/>
    <w:rsid w:val="00D63037"/>
    <w:rPr>
      <w:rFonts w:cs="Times New Roman"/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AC2602"/>
    <w:rPr>
      <w:color w:val="605E5C"/>
      <w:shd w:val="clear" w:color="auto" w:fill="E1DFDD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F6145"/>
    <w:pPr>
      <w:spacing w:after="0" w:line="240" w:lineRule="auto"/>
    </w:pPr>
    <w:rPr>
      <w:rFonts w:ascii="Calibri" w:eastAsiaTheme="minorHAnsi" w:hAnsi="Calibri" w:cstheme="minorBidi"/>
      <w:kern w:val="0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F6145"/>
    <w:rPr>
      <w:rFonts w:ascii="Calibri" w:hAnsi="Calibri"/>
      <w:szCs w:val="21"/>
      <w:lang w:val="sk-SK"/>
    </w:rPr>
  </w:style>
  <w:style w:type="paragraph" w:customStyle="1" w:styleId="publ-detail-large-text">
    <w:name w:val="publ-detail-large-text"/>
    <w:basedOn w:val="Normlny"/>
    <w:rsid w:val="00776BB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4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67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fton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roupholding.com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8481E-1D50-4FFE-8F0E-8FCE536E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Droppova - 1010Comms</dc:creator>
  <cp:keywords/>
  <dc:description/>
  <cp:lastModifiedBy>Katarina Droppova</cp:lastModifiedBy>
  <cp:revision>7</cp:revision>
  <cp:lastPrinted>2022-04-13T13:00:00Z</cp:lastPrinted>
  <dcterms:created xsi:type="dcterms:W3CDTF">2024-11-15T07:34:00Z</dcterms:created>
  <dcterms:modified xsi:type="dcterms:W3CDTF">2024-11-19T07:43:00Z</dcterms:modified>
</cp:coreProperties>
</file>